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63A" w:rsidRPr="006A2048" w:rsidRDefault="000E463A" w:rsidP="000E463A">
      <w:pPr>
        <w:jc w:val="center"/>
        <w:rPr>
          <w:b/>
          <w:sz w:val="28"/>
          <w:szCs w:val="28"/>
          <w:lang w:val="bg-BG"/>
        </w:rPr>
      </w:pPr>
      <w:r w:rsidRPr="006A2048">
        <w:rPr>
          <w:b/>
          <w:sz w:val="28"/>
          <w:szCs w:val="28"/>
          <w:lang w:val="bg-BG"/>
        </w:rPr>
        <w:t>MЕТОДИКА ЗА ОПРЕДЕЛЯНЕ НА КОМПЛЕКСНАТА ОЦЕНКА НА ОФЕРТАТА</w:t>
      </w:r>
    </w:p>
    <w:p w:rsidR="000E463A" w:rsidRPr="006A2048" w:rsidRDefault="000E463A" w:rsidP="000E463A">
      <w:pPr>
        <w:spacing w:line="276" w:lineRule="auto"/>
        <w:ind w:firstLine="705"/>
        <w:jc w:val="both"/>
        <w:rPr>
          <w:u w:val="single"/>
          <w:lang w:val="bg-BG"/>
        </w:rPr>
      </w:pPr>
    </w:p>
    <w:p w:rsidR="000E463A" w:rsidRPr="006A2048" w:rsidRDefault="000E463A" w:rsidP="000E463A">
      <w:pPr>
        <w:pStyle w:val="CharChar1"/>
        <w:jc w:val="both"/>
        <w:rPr>
          <w:rFonts w:ascii="Times New Roman" w:hAnsi="Times New Roman"/>
          <w:b/>
          <w:lang w:val="bg-BG"/>
        </w:rPr>
      </w:pPr>
      <w:r w:rsidRPr="006A2048">
        <w:rPr>
          <w:rStyle w:val="3"/>
          <w:bCs w:val="0"/>
          <w:color w:val="auto"/>
          <w:sz w:val="22"/>
        </w:rPr>
        <w:t xml:space="preserve">Предмет </w:t>
      </w:r>
      <w:r w:rsidRPr="006A2048">
        <w:rPr>
          <w:rStyle w:val="3"/>
          <w:bCs w:val="0"/>
          <w:color w:val="auto"/>
        </w:rPr>
        <w:t>на обществената поръчка</w:t>
      </w:r>
      <w:r w:rsidRPr="006A2048">
        <w:rPr>
          <w:rStyle w:val="3"/>
          <w:b w:val="0"/>
          <w:bCs w:val="0"/>
          <w:color w:val="auto"/>
        </w:rPr>
        <w:t>:</w:t>
      </w:r>
      <w:r w:rsidRPr="006A2048">
        <w:rPr>
          <w:b/>
          <w:lang w:val="bg-BG"/>
        </w:rPr>
        <w:t xml:space="preserve"> </w:t>
      </w:r>
      <w:r w:rsidRPr="006A2048">
        <w:rPr>
          <w:rFonts w:ascii="Times New Roman" w:hAnsi="Times New Roman"/>
          <w:b/>
          <w:lang w:val="bg-BG"/>
        </w:rPr>
        <w:t>„ИЗБОР НА ИЗПЪЛНИТЕЛ ЗА УПРАЖНЯВАНЕ НА КОНСУЛТАНТСКА ДЕЙНОСТ СЪГЛАСНО ЧЛ.166, АЛ.1 ОТ ЗАКОНА ЗА УСТРОЙСТВО НА ТЕРИТОРИЯТА</w:t>
      </w:r>
      <w:r w:rsidRPr="006A2048">
        <w:rPr>
          <w:rFonts w:ascii="Times New Roman" w:hAnsi="Times New Roman"/>
          <w:b/>
          <w:lang w:val="ru-RU"/>
        </w:rPr>
        <w:t xml:space="preserve"> </w:t>
      </w:r>
      <w:r w:rsidRPr="006A2048">
        <w:rPr>
          <w:rFonts w:ascii="Times New Roman" w:hAnsi="Times New Roman"/>
          <w:b/>
          <w:lang w:val="bg-BG"/>
        </w:rPr>
        <w:t>ПО НАЦИОНАЛНА ПРОГРАМА ЗА ЕНЕРГИЙНА ЕФЕКТИВНОСТ НА МНОГОФАМИЛНИ ЖИЛИЩНИ СГРАДИ” СЪС СЛЕДНИТЕ ОБОСОБЕНИ ПОЗИЦИИ:</w:t>
      </w:r>
    </w:p>
    <w:p w:rsidR="000E463A" w:rsidRPr="006A2048" w:rsidRDefault="000E463A" w:rsidP="000E463A">
      <w:pPr>
        <w:pStyle w:val="CharChar1"/>
        <w:numPr>
          <w:ilvl w:val="0"/>
          <w:numId w:val="6"/>
        </w:numPr>
        <w:tabs>
          <w:tab w:val="clear" w:pos="709"/>
          <w:tab w:val="left" w:pos="0"/>
        </w:tabs>
        <w:ind w:left="0" w:firstLine="420"/>
        <w:jc w:val="both"/>
        <w:rPr>
          <w:rFonts w:ascii="Times New Roman" w:hAnsi="Times New Roman"/>
          <w:b/>
          <w:lang w:val="bg-BG"/>
        </w:rPr>
      </w:pPr>
      <w:r w:rsidRPr="006A2048">
        <w:rPr>
          <w:rFonts w:ascii="Times New Roman" w:hAnsi="Times New Roman"/>
          <w:b/>
          <w:lang w:val="bg-BG"/>
        </w:rPr>
        <w:t>ОБОСОБЕНА ПОЗИЦИЯ №1 „ОБЕКТИ СЪС СЛЕДНИТЕ АДМИНИСТРАТИВНИ АДРЕСИ: ГР. СВИЩОВ, УЛ. СТОЯН НИКОВ, №1А, БЛ.8; ГР. СВИЩОВ, УЛ. СТОЯН НИКОВ, №10, БЛ.9А; ГР. СВИЩОВ, УЛ. СТОЯН НИКОВ, №1, БЛ.5; ГР. СВИЩОВ, УЛ. „ЧЕРНИ ВРЪХ”, №79”.</w:t>
      </w:r>
    </w:p>
    <w:p w:rsidR="000E463A" w:rsidRPr="006A2048" w:rsidRDefault="000E463A" w:rsidP="000E463A">
      <w:pPr>
        <w:pStyle w:val="CharChar1"/>
        <w:numPr>
          <w:ilvl w:val="0"/>
          <w:numId w:val="7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lang w:val="bg-BG"/>
        </w:rPr>
      </w:pPr>
      <w:r w:rsidRPr="006A2048">
        <w:rPr>
          <w:rFonts w:ascii="Times New Roman" w:hAnsi="Times New Roman"/>
          <w:b/>
          <w:lang w:val="bg-BG"/>
        </w:rPr>
        <w:t>ОБОСОБЕНА ПОЗИЦИЯ №2 „ОБЕКТИ СЪС СЛЕДНИТЕ АДМИНИСТРАТИВНИ АДРЕСИ: ГР. СВИЩОВ, УЛ. ПАТРИАРХ ЕВТИМИЙ, №72; ГР. СВИЩОВ, УЛ. ПЕТЪР АНГЕЛОВ, №15; ГР. СВИЩОВ, УЛ.СИМЕОН ВАНКОВ, №4, БЛ.2 ”.</w:t>
      </w:r>
    </w:p>
    <w:p w:rsidR="000E463A" w:rsidRPr="006A2048" w:rsidRDefault="000E463A" w:rsidP="000E463A">
      <w:pPr>
        <w:spacing w:line="276" w:lineRule="auto"/>
        <w:ind w:firstLine="740"/>
        <w:jc w:val="both"/>
        <w:rPr>
          <w:rStyle w:val="2"/>
          <w:color w:val="auto"/>
        </w:rPr>
      </w:pPr>
    </w:p>
    <w:p w:rsidR="000E463A" w:rsidRPr="006A2048" w:rsidRDefault="000E463A" w:rsidP="000E463A">
      <w:pPr>
        <w:spacing w:line="276" w:lineRule="auto"/>
        <w:ind w:firstLine="740"/>
        <w:jc w:val="both"/>
        <w:rPr>
          <w:lang w:val="ru-RU"/>
        </w:rPr>
      </w:pPr>
      <w:r w:rsidRPr="006A2048">
        <w:rPr>
          <w:rStyle w:val="2"/>
          <w:color w:val="auto"/>
        </w:rPr>
        <w:t>До оценяване се допускат само предложенията, които съответстват на законовите изисквания и документацията за участие на Възложителя.</w:t>
      </w:r>
    </w:p>
    <w:p w:rsidR="000E463A" w:rsidRPr="006A2048" w:rsidRDefault="000E463A" w:rsidP="000E463A">
      <w:pPr>
        <w:spacing w:after="292" w:line="276" w:lineRule="auto"/>
        <w:ind w:firstLine="740"/>
        <w:jc w:val="both"/>
        <w:rPr>
          <w:lang w:val="ru-RU"/>
        </w:rPr>
      </w:pPr>
      <w:r w:rsidRPr="006A2048">
        <w:rPr>
          <w:rStyle w:val="30"/>
          <w:b w:val="0"/>
          <w:color w:val="auto"/>
        </w:rPr>
        <w:t xml:space="preserve">Критерият за оценка на офертите е </w:t>
      </w:r>
      <w:r w:rsidRPr="006A2048">
        <w:rPr>
          <w:rStyle w:val="3"/>
          <w:b w:val="0"/>
          <w:bCs w:val="0"/>
          <w:color w:val="auto"/>
        </w:rPr>
        <w:t>„икономически най-изгодна оферта”, и се прилага за всяка обособена позиция по отделно.</w:t>
      </w:r>
    </w:p>
    <w:p w:rsidR="000E463A" w:rsidRPr="006A2048" w:rsidRDefault="000E463A" w:rsidP="000E463A">
      <w:pPr>
        <w:spacing w:line="276" w:lineRule="auto"/>
        <w:ind w:firstLine="740"/>
        <w:jc w:val="both"/>
        <w:rPr>
          <w:lang w:val="ru-RU"/>
        </w:rPr>
      </w:pPr>
      <w:r w:rsidRPr="006A2048">
        <w:rPr>
          <w:rStyle w:val="2"/>
          <w:color w:val="auto"/>
        </w:rPr>
        <w:t>Оценка на допуснатите оферти за съответната обособена позиция се извършва съгласно утвърдената от възложителя методика за оценка на офертите при следните показатели и тежест за определяне на общата комплексна оценка (КО):</w:t>
      </w:r>
    </w:p>
    <w:p w:rsidR="000E463A" w:rsidRPr="006A2048" w:rsidRDefault="000E463A" w:rsidP="000E463A">
      <w:pPr>
        <w:widowControl w:val="0"/>
        <w:numPr>
          <w:ilvl w:val="0"/>
          <w:numId w:val="4"/>
        </w:numPr>
        <w:tabs>
          <w:tab w:val="left" w:pos="1078"/>
        </w:tabs>
        <w:spacing w:line="276" w:lineRule="auto"/>
        <w:ind w:firstLine="740"/>
        <w:jc w:val="both"/>
        <w:rPr>
          <w:lang w:val="ru-RU"/>
        </w:rPr>
      </w:pPr>
      <w:r w:rsidRPr="006A2048">
        <w:rPr>
          <w:rStyle w:val="3"/>
          <w:bCs w:val="0"/>
          <w:color w:val="auto"/>
          <w:lang w:val="ru-RU" w:bidi="en-US"/>
        </w:rPr>
        <w:t>(</w:t>
      </w:r>
      <w:r w:rsidRPr="006A2048">
        <w:rPr>
          <w:rStyle w:val="3"/>
          <w:bCs w:val="0"/>
          <w:color w:val="auto"/>
          <w:lang w:val="en-US" w:bidi="en-US"/>
        </w:rPr>
        <w:t>KO</w:t>
      </w:r>
      <w:r w:rsidRPr="006A2048">
        <w:rPr>
          <w:rStyle w:val="3"/>
          <w:bCs w:val="0"/>
          <w:color w:val="auto"/>
          <w:lang w:bidi="en-US"/>
        </w:rPr>
        <w:t>1</w:t>
      </w:r>
      <w:r w:rsidRPr="006A2048">
        <w:rPr>
          <w:rStyle w:val="3"/>
          <w:bCs w:val="0"/>
          <w:color w:val="auto"/>
          <w:lang w:val="ru-RU" w:bidi="en-US"/>
        </w:rPr>
        <w:t xml:space="preserve">) </w:t>
      </w:r>
      <w:r w:rsidRPr="006A2048">
        <w:rPr>
          <w:rStyle w:val="3"/>
          <w:bCs w:val="0"/>
          <w:color w:val="auto"/>
        </w:rPr>
        <w:t>Обща цена за изпълнение на поръчката - тежест в комплексната оценка 30%, максимум 30 точки.</w:t>
      </w:r>
    </w:p>
    <w:p w:rsidR="000E463A" w:rsidRPr="006A2048" w:rsidRDefault="00A108F0" w:rsidP="000E463A">
      <w:pPr>
        <w:widowControl w:val="0"/>
        <w:numPr>
          <w:ilvl w:val="0"/>
          <w:numId w:val="4"/>
        </w:numPr>
        <w:tabs>
          <w:tab w:val="left" w:pos="1078"/>
        </w:tabs>
        <w:spacing w:after="536" w:line="276" w:lineRule="auto"/>
        <w:ind w:firstLine="740"/>
        <w:jc w:val="both"/>
        <w:rPr>
          <w:lang w:val="ru-RU"/>
        </w:rPr>
      </w:pPr>
      <w:r w:rsidRPr="006A2048">
        <w:rPr>
          <w:rStyle w:val="3"/>
          <w:bCs w:val="0"/>
          <w:color w:val="auto"/>
        </w:rPr>
        <w:t xml:space="preserve"> </w:t>
      </w:r>
      <w:r w:rsidR="000E463A" w:rsidRPr="006A2048">
        <w:rPr>
          <w:rStyle w:val="3"/>
          <w:bCs w:val="0"/>
          <w:color w:val="auto"/>
        </w:rPr>
        <w:t>(КО</w:t>
      </w:r>
      <w:r w:rsidRPr="006A2048">
        <w:rPr>
          <w:rStyle w:val="3"/>
          <w:bCs w:val="0"/>
          <w:color w:val="auto"/>
        </w:rPr>
        <w:t>2</w:t>
      </w:r>
      <w:r w:rsidR="000E463A" w:rsidRPr="006A2048">
        <w:rPr>
          <w:rStyle w:val="3"/>
          <w:bCs w:val="0"/>
          <w:color w:val="auto"/>
        </w:rPr>
        <w:t xml:space="preserve">) Техническо предложение за изпълнение на поръчката - тежест в </w:t>
      </w:r>
      <w:r w:rsidRPr="006A2048">
        <w:rPr>
          <w:rStyle w:val="3"/>
          <w:bCs w:val="0"/>
          <w:color w:val="auto"/>
        </w:rPr>
        <w:t>комплексната оценка 7</w:t>
      </w:r>
      <w:r w:rsidR="000E463A" w:rsidRPr="006A2048">
        <w:rPr>
          <w:rStyle w:val="3"/>
          <w:bCs w:val="0"/>
          <w:color w:val="auto"/>
        </w:rPr>
        <w:t xml:space="preserve">0 %, максимум </w:t>
      </w:r>
      <w:r w:rsidRPr="006A2048">
        <w:rPr>
          <w:rStyle w:val="3"/>
          <w:bCs w:val="0"/>
          <w:color w:val="auto"/>
        </w:rPr>
        <w:t>7</w:t>
      </w:r>
      <w:r w:rsidR="000E463A" w:rsidRPr="006A2048">
        <w:rPr>
          <w:rStyle w:val="3"/>
          <w:bCs w:val="0"/>
          <w:color w:val="auto"/>
        </w:rPr>
        <w:t>0 точки.</w:t>
      </w:r>
    </w:p>
    <w:p w:rsidR="000E463A" w:rsidRPr="006A2048" w:rsidRDefault="000E463A" w:rsidP="000E463A">
      <w:pPr>
        <w:spacing w:line="276" w:lineRule="auto"/>
        <w:ind w:firstLine="740"/>
        <w:jc w:val="both"/>
        <w:rPr>
          <w:lang w:val="ru-RU"/>
        </w:rPr>
      </w:pPr>
      <w:r w:rsidRPr="006A2048">
        <w:rPr>
          <w:rStyle w:val="2"/>
          <w:color w:val="auto"/>
        </w:rPr>
        <w:t xml:space="preserve">Общата комплексна оценка за класиране на участниците се формира при следната формула: </w:t>
      </w:r>
      <w:r w:rsidRPr="006A2048">
        <w:rPr>
          <w:rStyle w:val="20"/>
          <w:color w:val="auto"/>
        </w:rPr>
        <w:t xml:space="preserve">КО = </w:t>
      </w:r>
      <w:r w:rsidRPr="006A2048">
        <w:rPr>
          <w:rStyle w:val="20"/>
          <w:color w:val="auto"/>
          <w:lang w:val="en-US" w:bidi="en-US"/>
        </w:rPr>
        <w:t>KO</w:t>
      </w:r>
      <w:r w:rsidRPr="006A2048">
        <w:rPr>
          <w:rStyle w:val="20"/>
          <w:color w:val="auto"/>
          <w:lang w:bidi="en-US"/>
        </w:rPr>
        <w:t>1</w:t>
      </w:r>
      <w:r w:rsidRPr="006A2048">
        <w:rPr>
          <w:rStyle w:val="20"/>
          <w:color w:val="auto"/>
          <w:lang w:val="ru-RU" w:bidi="en-US"/>
        </w:rPr>
        <w:t xml:space="preserve"> </w:t>
      </w:r>
      <w:r w:rsidRPr="006A2048">
        <w:rPr>
          <w:rStyle w:val="20"/>
          <w:color w:val="auto"/>
        </w:rPr>
        <w:t xml:space="preserve">+ КО2 </w:t>
      </w:r>
      <w:r w:rsidR="00A108F0" w:rsidRPr="006A2048">
        <w:rPr>
          <w:rStyle w:val="20"/>
          <w:color w:val="auto"/>
        </w:rPr>
        <w:t>,</w:t>
      </w:r>
      <w:r w:rsidRPr="006A2048">
        <w:rPr>
          <w:rStyle w:val="20"/>
          <w:b w:val="0"/>
          <w:color w:val="auto"/>
        </w:rPr>
        <w:t xml:space="preserve"> </w:t>
      </w:r>
      <w:r w:rsidRPr="006A2048">
        <w:rPr>
          <w:rStyle w:val="2"/>
          <w:color w:val="auto"/>
        </w:rPr>
        <w:t>където:</w:t>
      </w:r>
    </w:p>
    <w:p w:rsidR="000E463A" w:rsidRPr="006A2048" w:rsidRDefault="000E463A" w:rsidP="000E463A">
      <w:pPr>
        <w:spacing w:line="276" w:lineRule="auto"/>
        <w:ind w:firstLine="740"/>
        <w:jc w:val="both"/>
        <w:rPr>
          <w:lang w:val="ru-RU"/>
        </w:rPr>
      </w:pPr>
      <w:r w:rsidRPr="006A2048">
        <w:rPr>
          <w:rStyle w:val="20"/>
          <w:color w:val="auto"/>
        </w:rPr>
        <w:t>КО</w:t>
      </w:r>
      <w:r w:rsidRPr="006A2048">
        <w:rPr>
          <w:rStyle w:val="20"/>
          <w:b w:val="0"/>
          <w:color w:val="auto"/>
        </w:rPr>
        <w:t xml:space="preserve"> </w:t>
      </w:r>
      <w:r w:rsidRPr="006A2048">
        <w:rPr>
          <w:lang w:val="ru-RU"/>
        </w:rPr>
        <w:t xml:space="preserve">- </w:t>
      </w:r>
      <w:r w:rsidRPr="006A2048">
        <w:rPr>
          <w:rStyle w:val="2"/>
          <w:color w:val="auto"/>
        </w:rPr>
        <w:t>е обща комплексна оценка</w:t>
      </w:r>
    </w:p>
    <w:p w:rsidR="000E463A" w:rsidRPr="006A2048" w:rsidRDefault="000E463A" w:rsidP="000E463A">
      <w:pPr>
        <w:spacing w:line="276" w:lineRule="auto"/>
        <w:ind w:left="740"/>
        <w:jc w:val="both"/>
        <w:rPr>
          <w:rStyle w:val="2"/>
          <w:color w:val="auto"/>
        </w:rPr>
      </w:pPr>
      <w:r w:rsidRPr="006A2048">
        <w:rPr>
          <w:rStyle w:val="20"/>
          <w:color w:val="auto"/>
          <w:lang w:val="en-US" w:bidi="en-US"/>
        </w:rPr>
        <w:t>KO</w:t>
      </w:r>
      <w:r w:rsidRPr="006A2048">
        <w:rPr>
          <w:rStyle w:val="20"/>
          <w:color w:val="auto"/>
          <w:lang w:bidi="en-US"/>
        </w:rPr>
        <w:t>1</w:t>
      </w:r>
      <w:r w:rsidRPr="006A2048">
        <w:rPr>
          <w:rStyle w:val="20"/>
          <w:b w:val="0"/>
          <w:color w:val="auto"/>
          <w:lang w:val="ru-RU" w:bidi="en-US"/>
        </w:rPr>
        <w:t xml:space="preserve"> </w:t>
      </w:r>
      <w:r w:rsidRPr="006A2048">
        <w:rPr>
          <w:rStyle w:val="2"/>
          <w:color w:val="auto"/>
        </w:rPr>
        <w:t>- е оценка на финансовото предложение /обща цена/ за изпълнение на поръчката</w:t>
      </w:r>
    </w:p>
    <w:p w:rsidR="000E463A" w:rsidRPr="006A2048" w:rsidRDefault="000E463A" w:rsidP="000E463A">
      <w:pPr>
        <w:spacing w:line="276" w:lineRule="auto"/>
        <w:ind w:left="740"/>
        <w:jc w:val="both"/>
        <w:rPr>
          <w:rStyle w:val="2"/>
          <w:color w:val="auto"/>
        </w:rPr>
      </w:pPr>
      <w:r w:rsidRPr="006A2048">
        <w:rPr>
          <w:rStyle w:val="20"/>
          <w:color w:val="auto"/>
        </w:rPr>
        <w:t>КО</w:t>
      </w:r>
      <w:r w:rsidR="00A108F0" w:rsidRPr="006A2048">
        <w:rPr>
          <w:rStyle w:val="20"/>
          <w:color w:val="auto"/>
        </w:rPr>
        <w:t>2</w:t>
      </w:r>
      <w:r w:rsidRPr="006A2048">
        <w:rPr>
          <w:rStyle w:val="20"/>
          <w:b w:val="0"/>
          <w:color w:val="auto"/>
        </w:rPr>
        <w:t xml:space="preserve"> </w:t>
      </w:r>
      <w:r w:rsidRPr="006A2048">
        <w:rPr>
          <w:lang w:val="ru-RU"/>
        </w:rPr>
        <w:t xml:space="preserve">- </w:t>
      </w:r>
      <w:r w:rsidR="00A108F0" w:rsidRPr="006A2048">
        <w:rPr>
          <w:rStyle w:val="2"/>
          <w:color w:val="auto"/>
        </w:rPr>
        <w:t>е оценка на О</w:t>
      </w:r>
      <w:r w:rsidRPr="006A2048">
        <w:rPr>
          <w:rStyle w:val="2"/>
          <w:color w:val="auto"/>
        </w:rPr>
        <w:t>рганизация</w:t>
      </w:r>
      <w:r w:rsidR="00A108F0" w:rsidRPr="006A2048">
        <w:rPr>
          <w:rStyle w:val="2"/>
          <w:color w:val="auto"/>
        </w:rPr>
        <w:t xml:space="preserve"> за изпълнение и Плана за управление на риска</w:t>
      </w:r>
      <w:r w:rsidRPr="006A2048">
        <w:rPr>
          <w:rStyle w:val="2"/>
          <w:color w:val="auto"/>
        </w:rPr>
        <w:t>.</w:t>
      </w:r>
    </w:p>
    <w:p w:rsidR="000E463A" w:rsidRPr="006A2048" w:rsidRDefault="000E463A" w:rsidP="000E463A">
      <w:pPr>
        <w:spacing w:line="276" w:lineRule="auto"/>
        <w:ind w:left="740"/>
        <w:jc w:val="both"/>
        <w:rPr>
          <w:lang w:val="ru-RU"/>
        </w:rPr>
      </w:pPr>
      <w:r w:rsidRPr="006A2048">
        <w:rPr>
          <w:rStyle w:val="2"/>
          <w:color w:val="auto"/>
        </w:rPr>
        <w:t>Максималната обща комплексна оценка е 100 точки.</w:t>
      </w:r>
    </w:p>
    <w:p w:rsidR="000E463A" w:rsidRPr="006A2048" w:rsidRDefault="000E463A" w:rsidP="000E463A">
      <w:pPr>
        <w:keepNext/>
        <w:keepLines/>
        <w:spacing w:after="242" w:line="276" w:lineRule="auto"/>
        <w:ind w:firstLine="820"/>
        <w:jc w:val="both"/>
        <w:rPr>
          <w:rStyle w:val="21"/>
          <w:b w:val="0"/>
          <w:bCs w:val="0"/>
          <w:color w:val="auto"/>
        </w:rPr>
      </w:pPr>
      <w:bookmarkStart w:id="0" w:name="bookmark2"/>
    </w:p>
    <w:p w:rsidR="000E463A" w:rsidRPr="006A2048" w:rsidRDefault="000E463A" w:rsidP="000E463A">
      <w:pPr>
        <w:keepNext/>
        <w:keepLines/>
        <w:spacing w:after="242" w:line="276" w:lineRule="auto"/>
        <w:ind w:firstLine="820"/>
        <w:jc w:val="both"/>
        <w:rPr>
          <w:u w:val="single"/>
          <w:lang w:val="ru-RU"/>
        </w:rPr>
      </w:pPr>
      <w:r w:rsidRPr="006A2048">
        <w:rPr>
          <w:rStyle w:val="21"/>
          <w:bCs w:val="0"/>
          <w:color w:val="auto"/>
        </w:rPr>
        <w:t>УКАЗАНИЯ ЗА ОПРЕДЕЛЯНЕ НА ОЦЕНКАТА ПО ВСЕКИ ПОКАЗАТЕЛ</w:t>
      </w:r>
      <w:bookmarkEnd w:id="0"/>
    </w:p>
    <w:p w:rsidR="000E463A" w:rsidRPr="006A2048" w:rsidRDefault="000E463A" w:rsidP="000E463A">
      <w:pPr>
        <w:keepNext/>
        <w:keepLines/>
        <w:widowControl w:val="0"/>
        <w:numPr>
          <w:ilvl w:val="0"/>
          <w:numId w:val="5"/>
        </w:numPr>
        <w:tabs>
          <w:tab w:val="left" w:pos="1135"/>
        </w:tabs>
        <w:spacing w:line="276" w:lineRule="auto"/>
        <w:ind w:firstLine="820"/>
        <w:jc w:val="both"/>
        <w:outlineLvl w:val="1"/>
        <w:rPr>
          <w:lang w:val="ru-RU"/>
        </w:rPr>
      </w:pPr>
      <w:bookmarkStart w:id="1" w:name="bookmark3"/>
      <w:r w:rsidRPr="006A2048">
        <w:rPr>
          <w:rStyle w:val="21"/>
          <w:color w:val="auto"/>
        </w:rPr>
        <w:t xml:space="preserve">Обща цена за изпълнение на поръчката </w:t>
      </w:r>
      <w:r w:rsidRPr="006A2048">
        <w:rPr>
          <w:rStyle w:val="21"/>
          <w:bCs w:val="0"/>
          <w:color w:val="auto"/>
          <w:lang w:val="ru-RU" w:bidi="en-US"/>
        </w:rPr>
        <w:t>(</w:t>
      </w:r>
      <w:r w:rsidRPr="006A2048">
        <w:rPr>
          <w:rStyle w:val="21"/>
          <w:bCs w:val="0"/>
          <w:color w:val="auto"/>
          <w:lang w:val="en-US" w:bidi="en-US"/>
        </w:rPr>
        <w:t>KO</w:t>
      </w:r>
      <w:r w:rsidRPr="006A2048">
        <w:rPr>
          <w:rStyle w:val="21"/>
          <w:bCs w:val="0"/>
          <w:color w:val="auto"/>
          <w:lang w:bidi="en-US"/>
        </w:rPr>
        <w:t>1</w:t>
      </w:r>
      <w:r w:rsidRPr="006A2048">
        <w:rPr>
          <w:rStyle w:val="21"/>
          <w:color w:val="auto"/>
          <w:lang w:val="ru-RU" w:bidi="en-US"/>
        </w:rPr>
        <w:t xml:space="preserve">) </w:t>
      </w:r>
      <w:r w:rsidR="00A108F0" w:rsidRPr="006A2048">
        <w:rPr>
          <w:rStyle w:val="21"/>
          <w:color w:val="auto"/>
        </w:rPr>
        <w:t>- максимална оценка 3</w:t>
      </w:r>
      <w:r w:rsidRPr="006A2048">
        <w:rPr>
          <w:rStyle w:val="21"/>
          <w:color w:val="auto"/>
        </w:rPr>
        <w:t>0 точки.</w:t>
      </w:r>
      <w:bookmarkEnd w:id="1"/>
    </w:p>
    <w:p w:rsidR="000E463A" w:rsidRPr="006A2048" w:rsidRDefault="000E463A" w:rsidP="000E463A">
      <w:pPr>
        <w:spacing w:line="276" w:lineRule="auto"/>
        <w:ind w:firstLine="820"/>
        <w:jc w:val="both"/>
        <w:rPr>
          <w:lang w:val="ru-RU"/>
        </w:rPr>
      </w:pPr>
      <w:r w:rsidRPr="006A2048">
        <w:rPr>
          <w:rStyle w:val="2"/>
          <w:color w:val="auto"/>
        </w:rPr>
        <w:t xml:space="preserve">Оценката по показателя обща цена за изпълнение на поръчката се определя по следната формула: </w:t>
      </w:r>
      <w:r w:rsidRPr="006A2048">
        <w:rPr>
          <w:rStyle w:val="20"/>
          <w:b w:val="0"/>
          <w:color w:val="auto"/>
          <w:lang w:val="en-US" w:bidi="en-US"/>
        </w:rPr>
        <w:t>KO</w:t>
      </w:r>
      <w:r w:rsidRPr="006A2048">
        <w:rPr>
          <w:rStyle w:val="20"/>
          <w:b w:val="0"/>
          <w:color w:val="auto"/>
          <w:lang w:bidi="en-US"/>
        </w:rPr>
        <w:t>1</w:t>
      </w:r>
      <w:r w:rsidRPr="006A2048">
        <w:rPr>
          <w:rStyle w:val="20"/>
          <w:b w:val="0"/>
          <w:color w:val="auto"/>
          <w:lang w:val="ru-RU" w:bidi="en-US"/>
        </w:rPr>
        <w:t xml:space="preserve"> </w:t>
      </w:r>
      <w:r w:rsidRPr="006A2048">
        <w:rPr>
          <w:rStyle w:val="20"/>
          <w:b w:val="0"/>
          <w:color w:val="auto"/>
        </w:rPr>
        <w:t xml:space="preserve">= </w:t>
      </w:r>
      <w:r w:rsidRPr="006A2048">
        <w:rPr>
          <w:rStyle w:val="20"/>
          <w:b w:val="0"/>
          <w:color w:val="auto"/>
          <w:lang w:val="en-US" w:bidi="en-US"/>
        </w:rPr>
        <w:t>KO</w:t>
      </w:r>
      <w:r w:rsidRPr="006A2048">
        <w:rPr>
          <w:rStyle w:val="20"/>
          <w:b w:val="0"/>
          <w:color w:val="auto"/>
          <w:lang w:bidi="en-US"/>
        </w:rPr>
        <w:t>1</w:t>
      </w:r>
      <w:r w:rsidRPr="006A2048">
        <w:rPr>
          <w:rStyle w:val="20"/>
          <w:b w:val="0"/>
          <w:color w:val="auto"/>
          <w:vertAlign w:val="subscript"/>
          <w:lang w:val="en-US" w:bidi="en-US"/>
        </w:rPr>
        <w:t>min</w:t>
      </w:r>
      <w:r w:rsidRPr="006A2048">
        <w:rPr>
          <w:rStyle w:val="20"/>
          <w:b w:val="0"/>
          <w:color w:val="auto"/>
          <w:lang w:val="ru-RU" w:bidi="en-US"/>
        </w:rPr>
        <w:t>.*</w:t>
      </w:r>
      <w:r w:rsidR="00A108F0" w:rsidRPr="006A2048">
        <w:rPr>
          <w:rStyle w:val="20"/>
          <w:b w:val="0"/>
          <w:color w:val="auto"/>
          <w:lang w:val="ru-RU" w:bidi="en-US"/>
        </w:rPr>
        <w:t>3</w:t>
      </w:r>
      <w:r w:rsidRPr="006A2048">
        <w:rPr>
          <w:rStyle w:val="20"/>
          <w:b w:val="0"/>
          <w:color w:val="auto"/>
          <w:lang w:val="ru-RU" w:bidi="en-US"/>
        </w:rPr>
        <w:t xml:space="preserve">0 </w:t>
      </w:r>
      <w:r w:rsidRPr="006A2048">
        <w:rPr>
          <w:rStyle w:val="20"/>
          <w:b w:val="0"/>
          <w:color w:val="auto"/>
        </w:rPr>
        <w:t>/ КО1</w:t>
      </w:r>
      <w:r w:rsidRPr="006A2048">
        <w:rPr>
          <w:rStyle w:val="20"/>
          <w:b w:val="0"/>
          <w:color w:val="auto"/>
          <w:vertAlign w:val="subscript"/>
        </w:rPr>
        <w:t>у</w:t>
      </w:r>
      <w:r w:rsidRPr="006A2048">
        <w:rPr>
          <w:rStyle w:val="20"/>
          <w:b w:val="0"/>
          <w:color w:val="auto"/>
        </w:rPr>
        <w:t xml:space="preserve">. </w:t>
      </w:r>
      <w:r w:rsidRPr="006A2048">
        <w:rPr>
          <w:rStyle w:val="2"/>
          <w:color w:val="auto"/>
        </w:rPr>
        <w:t>където:</w:t>
      </w:r>
    </w:p>
    <w:p w:rsidR="000E463A" w:rsidRPr="006A2048" w:rsidRDefault="000E463A" w:rsidP="000E463A">
      <w:pPr>
        <w:spacing w:line="276" w:lineRule="auto"/>
        <w:ind w:firstLine="820"/>
        <w:jc w:val="both"/>
        <w:rPr>
          <w:lang w:val="ru-RU"/>
        </w:rPr>
      </w:pPr>
      <w:r w:rsidRPr="006A2048">
        <w:rPr>
          <w:rStyle w:val="20"/>
          <w:color w:val="auto"/>
          <w:lang w:val="en-US" w:bidi="en-US"/>
        </w:rPr>
        <w:t>KO</w:t>
      </w:r>
      <w:r w:rsidRPr="006A2048">
        <w:rPr>
          <w:rStyle w:val="20"/>
          <w:color w:val="auto"/>
          <w:lang w:bidi="en-US"/>
        </w:rPr>
        <w:t>1</w:t>
      </w:r>
      <w:r w:rsidRPr="006A2048">
        <w:rPr>
          <w:rStyle w:val="20"/>
          <w:color w:val="auto"/>
          <w:lang w:val="ru-RU" w:bidi="en-US"/>
        </w:rPr>
        <w:t xml:space="preserve"> </w:t>
      </w:r>
      <w:r w:rsidRPr="006A2048">
        <w:rPr>
          <w:rStyle w:val="2"/>
          <w:color w:val="auto"/>
        </w:rPr>
        <w:t>- е оценка на обща цена за изпълнение на поръчката</w:t>
      </w:r>
    </w:p>
    <w:p w:rsidR="000E463A" w:rsidRPr="006A2048" w:rsidRDefault="000E463A" w:rsidP="000E463A">
      <w:pPr>
        <w:spacing w:line="276" w:lineRule="auto"/>
        <w:ind w:firstLine="820"/>
        <w:jc w:val="both"/>
        <w:rPr>
          <w:lang w:val="ru-RU"/>
        </w:rPr>
      </w:pPr>
      <w:r w:rsidRPr="006A2048">
        <w:rPr>
          <w:rStyle w:val="20"/>
          <w:color w:val="auto"/>
          <w:lang w:val="en-US" w:bidi="en-US"/>
        </w:rPr>
        <w:lastRenderedPageBreak/>
        <w:t>K</w:t>
      </w:r>
      <w:r w:rsidRPr="006A2048">
        <w:rPr>
          <w:rStyle w:val="20"/>
          <w:color w:val="auto"/>
          <w:lang w:bidi="en-US"/>
        </w:rPr>
        <w:t>О</w:t>
      </w:r>
      <w:r w:rsidRPr="006A2048">
        <w:rPr>
          <w:rStyle w:val="20"/>
          <w:color w:val="auto"/>
          <w:lang w:val="ru-RU" w:bidi="en-US"/>
        </w:rPr>
        <w:t>1</w:t>
      </w:r>
      <w:r w:rsidRPr="006A2048">
        <w:rPr>
          <w:rStyle w:val="20"/>
          <w:color w:val="auto"/>
          <w:vertAlign w:val="subscript"/>
          <w:lang w:val="en-US" w:bidi="en-US"/>
        </w:rPr>
        <w:t>min</w:t>
      </w:r>
      <w:r w:rsidRPr="006A2048">
        <w:rPr>
          <w:rStyle w:val="20"/>
          <w:b w:val="0"/>
          <w:color w:val="auto"/>
          <w:lang w:bidi="en-US"/>
        </w:rPr>
        <w:t xml:space="preserve"> - </w:t>
      </w:r>
      <w:r w:rsidRPr="006A2048">
        <w:rPr>
          <w:rStyle w:val="2"/>
          <w:color w:val="auto"/>
        </w:rPr>
        <w:t>е най-ниската предложена обща цена в лева без ДДС за изпълнение на поръчката от участник</w:t>
      </w:r>
    </w:p>
    <w:p w:rsidR="000E463A" w:rsidRPr="006A2048" w:rsidRDefault="000E463A" w:rsidP="000E463A">
      <w:pPr>
        <w:spacing w:line="276" w:lineRule="auto"/>
        <w:ind w:firstLine="820"/>
        <w:jc w:val="both"/>
        <w:rPr>
          <w:lang w:val="ru-RU"/>
        </w:rPr>
      </w:pPr>
      <w:r w:rsidRPr="006A2048">
        <w:rPr>
          <w:rStyle w:val="20"/>
          <w:color w:val="auto"/>
          <w:lang w:val="en-US" w:bidi="en-US"/>
        </w:rPr>
        <w:t>KO</w:t>
      </w:r>
      <w:r w:rsidRPr="006A2048">
        <w:rPr>
          <w:rStyle w:val="20"/>
          <w:color w:val="auto"/>
          <w:lang w:bidi="en-US"/>
        </w:rPr>
        <w:t xml:space="preserve">1 </w:t>
      </w:r>
      <w:r w:rsidRPr="006A2048">
        <w:rPr>
          <w:rStyle w:val="20"/>
          <w:color w:val="auto"/>
          <w:lang w:val="en-US" w:bidi="en-US"/>
        </w:rPr>
        <w:t>y</w:t>
      </w:r>
      <w:r w:rsidRPr="006A2048">
        <w:rPr>
          <w:rStyle w:val="20"/>
          <w:b w:val="0"/>
          <w:color w:val="auto"/>
          <w:lang w:val="ru-RU" w:bidi="en-US"/>
        </w:rPr>
        <w:t xml:space="preserve"> </w:t>
      </w:r>
      <w:r w:rsidRPr="006A2048">
        <w:rPr>
          <w:rStyle w:val="2"/>
          <w:color w:val="auto"/>
        </w:rPr>
        <w:t>- е предложена обща цена в лева без ДДС за изпълнение на поръчката от съответния участник</w:t>
      </w:r>
    </w:p>
    <w:p w:rsidR="000E463A" w:rsidRPr="006A2048" w:rsidRDefault="000E463A" w:rsidP="000E463A">
      <w:pPr>
        <w:spacing w:after="555" w:line="276" w:lineRule="auto"/>
        <w:ind w:firstLine="820"/>
        <w:jc w:val="both"/>
        <w:rPr>
          <w:lang w:val="ru-RU"/>
        </w:rPr>
      </w:pPr>
      <w:r w:rsidRPr="006A2048">
        <w:rPr>
          <w:rStyle w:val="2"/>
          <w:color w:val="auto"/>
        </w:rPr>
        <w:t xml:space="preserve">Стойността на получената оценка на обща цена за изпълнение на поръчката </w:t>
      </w:r>
      <w:r w:rsidRPr="006A2048">
        <w:rPr>
          <w:rStyle w:val="2"/>
          <w:color w:val="auto"/>
          <w:lang w:val="ru-RU" w:bidi="en-US"/>
        </w:rPr>
        <w:t>(</w:t>
      </w:r>
      <w:r w:rsidRPr="006A2048">
        <w:rPr>
          <w:rStyle w:val="2"/>
          <w:color w:val="auto"/>
          <w:lang w:val="en-US" w:bidi="en-US"/>
        </w:rPr>
        <w:t>KO</w:t>
      </w:r>
      <w:r w:rsidRPr="006A2048">
        <w:rPr>
          <w:rStyle w:val="2"/>
          <w:color w:val="auto"/>
          <w:lang w:bidi="en-US"/>
        </w:rPr>
        <w:t>1</w:t>
      </w:r>
      <w:r w:rsidRPr="006A2048">
        <w:rPr>
          <w:rStyle w:val="2"/>
          <w:color w:val="auto"/>
          <w:lang w:val="ru-RU" w:bidi="en-US"/>
        </w:rPr>
        <w:t xml:space="preserve">) </w:t>
      </w:r>
      <w:r w:rsidRPr="006A2048">
        <w:rPr>
          <w:rStyle w:val="2"/>
          <w:color w:val="auto"/>
        </w:rPr>
        <w:t>се закръгля до втория знак след десетичната запетая.</w:t>
      </w:r>
    </w:p>
    <w:p w:rsidR="000E463A" w:rsidRPr="006A2048" w:rsidRDefault="000E463A" w:rsidP="000E463A">
      <w:pPr>
        <w:keepNext/>
        <w:keepLines/>
        <w:widowControl w:val="0"/>
        <w:numPr>
          <w:ilvl w:val="0"/>
          <w:numId w:val="5"/>
        </w:numPr>
        <w:tabs>
          <w:tab w:val="left" w:pos="1338"/>
        </w:tabs>
        <w:spacing w:line="276" w:lineRule="auto"/>
        <w:ind w:left="200" w:firstLine="720"/>
        <w:jc w:val="both"/>
        <w:outlineLvl w:val="1"/>
        <w:rPr>
          <w:lang w:val="ru-RU"/>
        </w:rPr>
      </w:pPr>
      <w:bookmarkStart w:id="2" w:name="bookmark6"/>
      <w:r w:rsidRPr="006A2048">
        <w:rPr>
          <w:rStyle w:val="21"/>
          <w:color w:val="auto"/>
        </w:rPr>
        <w:t>Техническо предложени</w:t>
      </w:r>
      <w:r w:rsidRPr="006A2048">
        <w:rPr>
          <w:rStyle w:val="21"/>
          <w:bCs w:val="0"/>
          <w:color w:val="auto"/>
        </w:rPr>
        <w:t>е за изпълнение на поръчката (КО</w:t>
      </w:r>
      <w:r w:rsidR="00A108F0" w:rsidRPr="006A2048">
        <w:rPr>
          <w:rStyle w:val="21"/>
          <w:bCs w:val="0"/>
          <w:color w:val="auto"/>
        </w:rPr>
        <w:t>2</w:t>
      </w:r>
      <w:r w:rsidRPr="006A2048">
        <w:rPr>
          <w:rStyle w:val="21"/>
          <w:color w:val="auto"/>
        </w:rPr>
        <w:t xml:space="preserve">) - максимална оценка </w:t>
      </w:r>
      <w:r w:rsidR="00A108F0" w:rsidRPr="006A2048">
        <w:rPr>
          <w:rStyle w:val="21"/>
          <w:color w:val="auto"/>
        </w:rPr>
        <w:t>7</w:t>
      </w:r>
      <w:r w:rsidRPr="006A2048">
        <w:rPr>
          <w:rStyle w:val="21"/>
          <w:color w:val="auto"/>
        </w:rPr>
        <w:t>0 точки.</w:t>
      </w:r>
      <w:bookmarkEnd w:id="2"/>
    </w:p>
    <w:p w:rsidR="000E463A" w:rsidRPr="006A2048" w:rsidRDefault="000E463A" w:rsidP="000E463A">
      <w:pPr>
        <w:spacing w:line="276" w:lineRule="auto"/>
        <w:ind w:left="200" w:firstLine="720"/>
        <w:jc w:val="both"/>
        <w:rPr>
          <w:lang w:val="ru-RU"/>
        </w:rPr>
      </w:pPr>
      <w:r w:rsidRPr="006A2048">
        <w:rPr>
          <w:rStyle w:val="2"/>
          <w:color w:val="auto"/>
        </w:rPr>
        <w:t>Показателят представлява експертна оценка на техническото предложение на участника.</w:t>
      </w:r>
    </w:p>
    <w:p w:rsidR="000E463A" w:rsidRPr="006A2048" w:rsidRDefault="000E463A" w:rsidP="000E463A">
      <w:pPr>
        <w:spacing w:line="276" w:lineRule="auto"/>
        <w:ind w:left="200" w:firstLine="720"/>
        <w:jc w:val="both"/>
        <w:rPr>
          <w:lang w:val="ru-RU"/>
        </w:rPr>
      </w:pPr>
      <w:r w:rsidRPr="006A2048">
        <w:rPr>
          <w:rStyle w:val="2"/>
          <w:color w:val="auto"/>
        </w:rPr>
        <w:t>Техническото предложение се оценява по следната формула:</w:t>
      </w:r>
    </w:p>
    <w:p w:rsidR="000E463A" w:rsidRPr="006A2048" w:rsidRDefault="000E463A" w:rsidP="000E463A">
      <w:pPr>
        <w:spacing w:line="276" w:lineRule="auto"/>
        <w:ind w:left="200" w:firstLine="720"/>
        <w:jc w:val="both"/>
        <w:rPr>
          <w:lang w:val="ru-RU"/>
        </w:rPr>
      </w:pPr>
      <w:r w:rsidRPr="006A2048">
        <w:rPr>
          <w:rStyle w:val="3"/>
          <w:bCs w:val="0"/>
          <w:color w:val="auto"/>
        </w:rPr>
        <w:t>КО</w:t>
      </w:r>
      <w:r w:rsidR="00A108F0" w:rsidRPr="006A2048">
        <w:rPr>
          <w:rStyle w:val="3"/>
          <w:bCs w:val="0"/>
          <w:color w:val="auto"/>
        </w:rPr>
        <w:t>2</w:t>
      </w:r>
      <w:r w:rsidRPr="006A2048">
        <w:rPr>
          <w:rStyle w:val="3"/>
          <w:bCs w:val="0"/>
          <w:color w:val="auto"/>
        </w:rPr>
        <w:t xml:space="preserve"> = А+Б </w:t>
      </w:r>
      <w:r w:rsidRPr="006A2048">
        <w:rPr>
          <w:b/>
          <w:lang w:val="ru-RU"/>
        </w:rPr>
        <w:t xml:space="preserve"> </w:t>
      </w:r>
      <w:r w:rsidRPr="006A2048">
        <w:rPr>
          <w:rStyle w:val="3"/>
          <w:b w:val="0"/>
          <w:bCs w:val="0"/>
          <w:color w:val="auto"/>
        </w:rPr>
        <w:t xml:space="preserve">с максимален брой точки </w:t>
      </w:r>
      <w:r w:rsidR="00A108F0" w:rsidRPr="006A2048">
        <w:rPr>
          <w:rStyle w:val="3"/>
          <w:b w:val="0"/>
          <w:bCs w:val="0"/>
          <w:color w:val="auto"/>
        </w:rPr>
        <w:t>7</w:t>
      </w:r>
      <w:r w:rsidRPr="006A2048">
        <w:rPr>
          <w:rStyle w:val="3"/>
          <w:b w:val="0"/>
          <w:bCs w:val="0"/>
          <w:color w:val="auto"/>
        </w:rPr>
        <w:t>0, където:</w:t>
      </w:r>
    </w:p>
    <w:p w:rsidR="000E463A" w:rsidRPr="006A2048" w:rsidRDefault="000E463A" w:rsidP="000E463A">
      <w:pPr>
        <w:spacing w:line="276" w:lineRule="auto"/>
        <w:ind w:left="200" w:firstLine="720"/>
        <w:jc w:val="both"/>
        <w:rPr>
          <w:lang w:val="ru-RU"/>
        </w:rPr>
      </w:pPr>
      <w:proofErr w:type="spellStart"/>
      <w:r w:rsidRPr="006A2048">
        <w:rPr>
          <w:rStyle w:val="20"/>
          <w:color w:val="auto"/>
        </w:rPr>
        <w:t>Подпоказател</w:t>
      </w:r>
      <w:proofErr w:type="spellEnd"/>
      <w:r w:rsidRPr="006A2048">
        <w:rPr>
          <w:rStyle w:val="20"/>
          <w:color w:val="auto"/>
        </w:rPr>
        <w:t xml:space="preserve"> (А) </w:t>
      </w:r>
      <w:r w:rsidRPr="006A2048">
        <w:rPr>
          <w:rStyle w:val="2"/>
          <w:color w:val="auto"/>
        </w:rPr>
        <w:t>- „</w:t>
      </w:r>
      <w:r w:rsidR="00A108F0" w:rsidRPr="006A2048">
        <w:rPr>
          <w:rStyle w:val="2"/>
          <w:color w:val="auto"/>
        </w:rPr>
        <w:t>О</w:t>
      </w:r>
      <w:r w:rsidRPr="006A2048">
        <w:rPr>
          <w:rStyle w:val="2"/>
          <w:color w:val="auto"/>
        </w:rPr>
        <w:t>рганизация</w:t>
      </w:r>
      <w:r w:rsidR="00A108F0" w:rsidRPr="006A2048">
        <w:rPr>
          <w:rStyle w:val="2"/>
          <w:color w:val="auto"/>
        </w:rPr>
        <w:t xml:space="preserve"> за </w:t>
      </w:r>
      <w:r w:rsidRPr="006A2048">
        <w:rPr>
          <w:rStyle w:val="2"/>
          <w:color w:val="auto"/>
        </w:rPr>
        <w:t>изпълнение на поръчката“ с максимален брой точки 40;</w:t>
      </w:r>
    </w:p>
    <w:p w:rsidR="000E463A" w:rsidRPr="006A2048" w:rsidRDefault="000E463A" w:rsidP="000E463A">
      <w:pPr>
        <w:spacing w:line="276" w:lineRule="auto"/>
        <w:ind w:left="200" w:firstLine="720"/>
        <w:jc w:val="both"/>
        <w:rPr>
          <w:lang w:val="ru-RU"/>
        </w:rPr>
      </w:pPr>
      <w:proofErr w:type="spellStart"/>
      <w:r w:rsidRPr="006A2048">
        <w:rPr>
          <w:rStyle w:val="20"/>
          <w:color w:val="auto"/>
        </w:rPr>
        <w:t>Подпоказател</w:t>
      </w:r>
      <w:proofErr w:type="spellEnd"/>
      <w:r w:rsidRPr="006A2048">
        <w:rPr>
          <w:rStyle w:val="20"/>
          <w:color w:val="auto"/>
        </w:rPr>
        <w:t xml:space="preserve"> (Б</w:t>
      </w:r>
      <w:r w:rsidRPr="006A2048">
        <w:rPr>
          <w:rStyle w:val="20"/>
          <w:b w:val="0"/>
          <w:color w:val="auto"/>
        </w:rPr>
        <w:t xml:space="preserve">) </w:t>
      </w:r>
      <w:r w:rsidRPr="006A2048">
        <w:rPr>
          <w:rStyle w:val="2"/>
          <w:color w:val="auto"/>
        </w:rPr>
        <w:t>-„</w:t>
      </w:r>
      <w:r w:rsidR="00A108F0" w:rsidRPr="006A2048">
        <w:rPr>
          <w:rStyle w:val="2"/>
          <w:color w:val="auto"/>
        </w:rPr>
        <w:t>План за у</w:t>
      </w:r>
      <w:r w:rsidRPr="006A2048">
        <w:rPr>
          <w:rStyle w:val="2"/>
          <w:color w:val="auto"/>
        </w:rPr>
        <w:t xml:space="preserve">правление на риска”, с максимален брой точки </w:t>
      </w:r>
      <w:r w:rsidR="00A108F0" w:rsidRPr="006A2048">
        <w:rPr>
          <w:rStyle w:val="2"/>
          <w:color w:val="auto"/>
        </w:rPr>
        <w:t>3</w:t>
      </w:r>
      <w:r w:rsidRPr="006A2048">
        <w:rPr>
          <w:rStyle w:val="2"/>
          <w:color w:val="auto"/>
        </w:rPr>
        <w:t xml:space="preserve">0.  </w:t>
      </w:r>
    </w:p>
    <w:p w:rsidR="000E463A" w:rsidRPr="006A2048" w:rsidRDefault="000E463A" w:rsidP="000E463A">
      <w:pPr>
        <w:spacing w:line="276" w:lineRule="auto"/>
        <w:ind w:left="200" w:firstLine="720"/>
        <w:jc w:val="both"/>
        <w:rPr>
          <w:lang w:val="ru-RU"/>
        </w:rPr>
      </w:pPr>
      <w:r w:rsidRPr="006A2048">
        <w:rPr>
          <w:rStyle w:val="2"/>
          <w:color w:val="auto"/>
        </w:rPr>
        <w:t>Оценката по показателя техническото предложение за изпълнение на поръчката (КО</w:t>
      </w:r>
      <w:r w:rsidR="00A108F0" w:rsidRPr="006A2048">
        <w:rPr>
          <w:rStyle w:val="2"/>
          <w:color w:val="auto"/>
        </w:rPr>
        <w:t>2</w:t>
      </w:r>
      <w:r w:rsidRPr="006A2048">
        <w:rPr>
          <w:rStyle w:val="2"/>
          <w:color w:val="auto"/>
        </w:rPr>
        <w:t xml:space="preserve">) се формира на базата на изготвените от всеки участник </w:t>
      </w:r>
      <w:r w:rsidR="00A108F0" w:rsidRPr="006A2048">
        <w:rPr>
          <w:rStyle w:val="2"/>
          <w:b/>
          <w:color w:val="auto"/>
        </w:rPr>
        <w:t>Организация за изпълнение на поръчката</w:t>
      </w:r>
      <w:r w:rsidR="00A108F0" w:rsidRPr="006A2048">
        <w:rPr>
          <w:rStyle w:val="2"/>
          <w:color w:val="auto"/>
        </w:rPr>
        <w:t xml:space="preserve"> и </w:t>
      </w:r>
      <w:r w:rsidR="00A108F0" w:rsidRPr="006A2048">
        <w:rPr>
          <w:rStyle w:val="2"/>
          <w:b/>
          <w:color w:val="auto"/>
        </w:rPr>
        <w:t>План за управление на риска</w:t>
      </w:r>
      <w:r w:rsidR="00A108F0" w:rsidRPr="006A2048">
        <w:rPr>
          <w:rStyle w:val="2"/>
          <w:color w:val="auto"/>
        </w:rPr>
        <w:t>, представляващи приложение и неразделна част от Техническото предложение /</w:t>
      </w:r>
      <w:proofErr w:type="spellStart"/>
      <w:r w:rsidR="00A108F0" w:rsidRPr="006A2048">
        <w:rPr>
          <w:rStyle w:val="2"/>
          <w:color w:val="auto"/>
        </w:rPr>
        <w:t>обр</w:t>
      </w:r>
      <w:proofErr w:type="spellEnd"/>
      <w:r w:rsidR="00A108F0" w:rsidRPr="006A2048">
        <w:rPr>
          <w:rStyle w:val="2"/>
          <w:color w:val="auto"/>
        </w:rPr>
        <w:t xml:space="preserve">. № 13/. </w:t>
      </w:r>
    </w:p>
    <w:p w:rsidR="000E463A" w:rsidRPr="006A2048" w:rsidRDefault="000E463A" w:rsidP="000E463A">
      <w:pPr>
        <w:spacing w:line="276" w:lineRule="auto"/>
        <w:ind w:left="200" w:firstLine="720"/>
        <w:jc w:val="both"/>
        <w:rPr>
          <w:rStyle w:val="2"/>
          <w:color w:val="auto"/>
        </w:rPr>
      </w:pPr>
      <w:r w:rsidRPr="006A2048">
        <w:rPr>
          <w:rStyle w:val="2"/>
          <w:color w:val="auto"/>
        </w:rPr>
        <w:t>Оценката по показателя се извършва съгласно следните критерии за постигната степен на съответствие с изискванията на Възложителя:</w:t>
      </w:r>
    </w:p>
    <w:p w:rsidR="000E463A" w:rsidRPr="006A2048" w:rsidRDefault="000E463A" w:rsidP="000E463A">
      <w:pPr>
        <w:spacing w:line="254" w:lineRule="exact"/>
        <w:ind w:left="200" w:firstLine="720"/>
        <w:rPr>
          <w:rStyle w:val="2"/>
          <w:color w:val="auto"/>
        </w:rPr>
      </w:pPr>
    </w:p>
    <w:p w:rsidR="000E463A" w:rsidRPr="006A2048" w:rsidRDefault="000E463A" w:rsidP="000E463A">
      <w:pPr>
        <w:jc w:val="both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7783"/>
        <w:gridCol w:w="1551"/>
      </w:tblGrid>
      <w:tr w:rsidR="006A2048" w:rsidRPr="006A2048" w:rsidTr="00995298">
        <w:tc>
          <w:tcPr>
            <w:tcW w:w="466" w:type="dxa"/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№</w:t>
            </w: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0E463A" w:rsidRPr="006A2048" w:rsidRDefault="000E463A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Критерии за оценка по показател</w:t>
            </w:r>
          </w:p>
        </w:tc>
        <w:tc>
          <w:tcPr>
            <w:tcW w:w="1551" w:type="dxa"/>
          </w:tcPr>
          <w:p w:rsidR="000E463A" w:rsidRPr="006A2048" w:rsidRDefault="000E463A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Оценка</w:t>
            </w:r>
          </w:p>
        </w:tc>
      </w:tr>
      <w:tr w:rsidR="006A2048" w:rsidRPr="006A2048" w:rsidTr="00995298">
        <w:trPr>
          <w:trHeight w:val="312"/>
        </w:trPr>
        <w:tc>
          <w:tcPr>
            <w:tcW w:w="466" w:type="dxa"/>
          </w:tcPr>
          <w:p w:rsidR="000E463A" w:rsidRPr="006A2048" w:rsidRDefault="000E463A" w:rsidP="00995298">
            <w:pPr>
              <w:jc w:val="both"/>
              <w:rPr>
                <w:lang w:val="bg-BG"/>
              </w:rPr>
            </w:pPr>
          </w:p>
          <w:p w:rsidR="000E463A" w:rsidRPr="006A2048" w:rsidRDefault="000E463A" w:rsidP="00995298">
            <w:pPr>
              <w:jc w:val="both"/>
              <w:rPr>
                <w:lang w:val="bg-BG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0E463A" w:rsidRPr="006A2048" w:rsidRDefault="000E463A" w:rsidP="00995298">
            <w:pPr>
              <w:jc w:val="both"/>
              <w:rPr>
                <w:lang w:val="bg-BG"/>
              </w:rPr>
            </w:pPr>
            <w:r w:rsidRPr="006A2048">
              <w:rPr>
                <w:b/>
                <w:lang w:val="bg-BG"/>
              </w:rPr>
              <w:t>ТЕХНИЧЕСКО ПРЕДЛОЖЕНИЕ ЗА ИЗПЪЛНЕНИЕ НА ПОРЪЧКАТА</w:t>
            </w:r>
          </w:p>
        </w:tc>
        <w:tc>
          <w:tcPr>
            <w:tcW w:w="1551" w:type="dxa"/>
          </w:tcPr>
          <w:p w:rsidR="000E463A" w:rsidRPr="006A2048" w:rsidRDefault="000E463A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 xml:space="preserve">до </w:t>
            </w:r>
            <w:r w:rsidR="00A108F0" w:rsidRPr="006A2048">
              <w:rPr>
                <w:b/>
                <w:lang w:val="bg-BG"/>
              </w:rPr>
              <w:t>7</w:t>
            </w:r>
            <w:r w:rsidRPr="006A2048">
              <w:rPr>
                <w:b/>
                <w:lang w:val="bg-BG"/>
              </w:rPr>
              <w:t>0</w:t>
            </w:r>
          </w:p>
          <w:p w:rsidR="000E463A" w:rsidRPr="006A2048" w:rsidRDefault="000E463A" w:rsidP="00995298">
            <w:pPr>
              <w:jc w:val="center"/>
              <w:rPr>
                <w:lang w:val="bg-BG"/>
              </w:rPr>
            </w:pPr>
            <w:r w:rsidRPr="006A2048">
              <w:rPr>
                <w:b/>
                <w:lang w:val="bg-BG"/>
              </w:rPr>
              <w:t>точки</w:t>
            </w:r>
          </w:p>
        </w:tc>
      </w:tr>
      <w:tr w:rsidR="006A2048" w:rsidRPr="006A2048" w:rsidTr="00995298">
        <w:trPr>
          <w:trHeight w:val="407"/>
        </w:trPr>
        <w:tc>
          <w:tcPr>
            <w:tcW w:w="466" w:type="dxa"/>
          </w:tcPr>
          <w:p w:rsidR="000E463A" w:rsidRPr="006A2048" w:rsidRDefault="000E463A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А</w:t>
            </w:r>
          </w:p>
        </w:tc>
        <w:tc>
          <w:tcPr>
            <w:tcW w:w="7783" w:type="dxa"/>
            <w:tcBorders>
              <w:top w:val="single" w:sz="4" w:space="0" w:color="auto"/>
              <w:bottom w:val="single" w:sz="4" w:space="0" w:color="auto"/>
            </w:tcBorders>
          </w:tcPr>
          <w:p w:rsidR="000E463A" w:rsidRPr="006A2048" w:rsidRDefault="000E463A" w:rsidP="00A108F0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 xml:space="preserve"> ОРГАНИЗАЦИЯ</w:t>
            </w:r>
            <w:r w:rsidR="00A108F0" w:rsidRPr="006A2048">
              <w:rPr>
                <w:b/>
                <w:lang w:val="bg-BG"/>
              </w:rPr>
              <w:t xml:space="preserve"> ЗА </w:t>
            </w:r>
            <w:r w:rsidRPr="006A2048">
              <w:rPr>
                <w:b/>
                <w:lang w:val="bg-BG"/>
              </w:rPr>
              <w:t xml:space="preserve">ИЗПЪЛНЕНИЕ НА ПОРЪЧКАТА </w:t>
            </w:r>
          </w:p>
        </w:tc>
        <w:tc>
          <w:tcPr>
            <w:tcW w:w="1551" w:type="dxa"/>
          </w:tcPr>
          <w:p w:rsidR="000E463A" w:rsidRPr="006A2048" w:rsidRDefault="000E463A" w:rsidP="00995298">
            <w:pPr>
              <w:jc w:val="center"/>
              <w:rPr>
                <w:b/>
                <w:lang w:val="bg-BG"/>
              </w:rPr>
            </w:pPr>
            <w:proofErr w:type="spellStart"/>
            <w:r w:rsidRPr="006A2048">
              <w:rPr>
                <w:b/>
                <w:lang w:val="bg-BG"/>
              </w:rPr>
              <w:t>макс</w:t>
            </w:r>
            <w:proofErr w:type="spellEnd"/>
            <w:r w:rsidRPr="006A2048">
              <w:rPr>
                <w:b/>
                <w:lang w:val="bg-BG"/>
              </w:rPr>
              <w:t>. брой</w:t>
            </w:r>
          </w:p>
          <w:p w:rsidR="000E463A" w:rsidRPr="006A2048" w:rsidRDefault="000E463A" w:rsidP="00A108F0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 xml:space="preserve">точки </w:t>
            </w:r>
            <w:r w:rsidR="00A108F0" w:rsidRPr="006A2048">
              <w:rPr>
                <w:b/>
                <w:lang w:val="bg-BG"/>
              </w:rPr>
              <w:t>4</w:t>
            </w:r>
            <w:r w:rsidRPr="006A2048">
              <w:rPr>
                <w:b/>
                <w:lang w:val="bg-BG"/>
              </w:rPr>
              <w:t>0</w:t>
            </w:r>
          </w:p>
        </w:tc>
      </w:tr>
      <w:tr w:rsidR="006A2048" w:rsidRPr="006A2048" w:rsidTr="00995298">
        <w:trPr>
          <w:trHeight w:val="407"/>
        </w:trPr>
        <w:tc>
          <w:tcPr>
            <w:tcW w:w="466" w:type="dxa"/>
          </w:tcPr>
          <w:p w:rsidR="000E463A" w:rsidRPr="006A2048" w:rsidRDefault="000E463A" w:rsidP="00995298">
            <w:pPr>
              <w:jc w:val="center"/>
              <w:rPr>
                <w:lang w:val="bg-BG"/>
              </w:rPr>
            </w:pPr>
          </w:p>
        </w:tc>
        <w:tc>
          <w:tcPr>
            <w:tcW w:w="7783" w:type="dxa"/>
            <w:tcBorders>
              <w:top w:val="single" w:sz="4" w:space="0" w:color="auto"/>
              <w:bottom w:val="single" w:sz="4" w:space="0" w:color="auto"/>
            </w:tcBorders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 xml:space="preserve"> Комисията поставя </w:t>
            </w:r>
            <w:r w:rsidR="00A108F0" w:rsidRPr="006A2048">
              <w:rPr>
                <w:b/>
                <w:lang w:val="bg-BG"/>
              </w:rPr>
              <w:t>4</w:t>
            </w:r>
            <w:r w:rsidRPr="006A2048">
              <w:rPr>
                <w:b/>
                <w:lang w:val="bg-BG"/>
              </w:rPr>
              <w:t>0 точки, когато са налице следните обстоятелства:</w:t>
            </w:r>
          </w:p>
          <w:p w:rsidR="00A108F0" w:rsidRPr="006A2048" w:rsidRDefault="00A108F0" w:rsidP="00A108F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val="en-US"/>
              </w:rPr>
            </w:pP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В Техническото предложение на участника се съдържа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пълно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детайлно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организация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работа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задълженията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отговорностите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членовете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–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ключови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допълнителни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.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Ясна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визия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за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комуникация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контрол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вътре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в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с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останалите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участници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gram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в 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с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троителния</w:t>
            </w:r>
            <w:proofErr w:type="spellEnd"/>
            <w:proofErr w:type="gram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процес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.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Ясно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точно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описание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дейностите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които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трябва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бъдат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изпълнявани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за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постигане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в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максимална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степен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законосъобразността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качеството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при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извършване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строително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-</w:t>
            </w:r>
          </w:p>
          <w:p w:rsidR="00A108F0" w:rsidRPr="006A2048" w:rsidRDefault="00A108F0" w:rsidP="00A108F0">
            <w:pPr>
              <w:autoSpaceDE w:val="0"/>
              <w:autoSpaceDN w:val="0"/>
              <w:adjustRightInd w:val="0"/>
              <w:rPr>
                <w:b/>
                <w:lang w:val="bg-BG"/>
              </w:rPr>
            </w:pPr>
            <w:proofErr w:type="spellStart"/>
            <w:proofErr w:type="gram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монтажните</w:t>
            </w:r>
            <w:proofErr w:type="spellEnd"/>
            <w:proofErr w:type="gram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работи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.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Последователност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дейностите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отговаряща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нормативната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уредба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.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Подробно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точно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описание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документите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които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трябва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бъдат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издадени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-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протоколи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,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доклади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актове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-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вид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периодичност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съдържание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.</w:t>
            </w:r>
          </w:p>
          <w:p w:rsidR="00A108F0" w:rsidRPr="006A2048" w:rsidRDefault="00A108F0" w:rsidP="00995298">
            <w:pPr>
              <w:jc w:val="both"/>
              <w:rPr>
                <w:lang w:val="bg-BG"/>
              </w:rPr>
            </w:pPr>
          </w:p>
          <w:p w:rsidR="000E463A" w:rsidRPr="006A2048" w:rsidRDefault="000E463A" w:rsidP="00995298">
            <w:pPr>
              <w:jc w:val="both"/>
              <w:rPr>
                <w:lang w:val="ru-RU"/>
              </w:rPr>
            </w:pPr>
          </w:p>
        </w:tc>
        <w:tc>
          <w:tcPr>
            <w:tcW w:w="1551" w:type="dxa"/>
          </w:tcPr>
          <w:p w:rsidR="000E463A" w:rsidRPr="006A2048" w:rsidRDefault="00A108F0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4</w:t>
            </w:r>
            <w:r w:rsidR="000E463A" w:rsidRPr="006A2048">
              <w:rPr>
                <w:b/>
                <w:lang w:val="bg-BG"/>
              </w:rPr>
              <w:t>0 т.</w:t>
            </w:r>
          </w:p>
        </w:tc>
      </w:tr>
      <w:tr w:rsidR="006A2048" w:rsidRPr="006A2048" w:rsidTr="00995298">
        <w:trPr>
          <w:trHeight w:val="407"/>
        </w:trPr>
        <w:tc>
          <w:tcPr>
            <w:tcW w:w="466" w:type="dxa"/>
          </w:tcPr>
          <w:p w:rsidR="000E463A" w:rsidRPr="006A2048" w:rsidRDefault="000E463A" w:rsidP="00995298">
            <w:pPr>
              <w:jc w:val="center"/>
              <w:rPr>
                <w:lang w:val="bg-BG"/>
              </w:rPr>
            </w:pPr>
          </w:p>
        </w:tc>
        <w:tc>
          <w:tcPr>
            <w:tcW w:w="7783" w:type="dxa"/>
            <w:tcBorders>
              <w:top w:val="single" w:sz="4" w:space="0" w:color="auto"/>
              <w:bottom w:val="single" w:sz="4" w:space="0" w:color="auto"/>
            </w:tcBorders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К</w:t>
            </w:r>
            <w:r w:rsidR="00A108F0" w:rsidRPr="006A2048">
              <w:rPr>
                <w:b/>
                <w:lang w:val="bg-BG"/>
              </w:rPr>
              <w:t>омисията поставя 3</w:t>
            </w:r>
            <w:r w:rsidRPr="006A2048">
              <w:rPr>
                <w:b/>
                <w:lang w:val="bg-BG"/>
              </w:rPr>
              <w:t>0 точки, когато са налице</w:t>
            </w:r>
            <w:r w:rsidRPr="006A2048">
              <w:rPr>
                <w:b/>
                <w:lang w:val="en-US"/>
              </w:rPr>
              <w:t xml:space="preserve"> </w:t>
            </w:r>
            <w:r w:rsidRPr="006A2048">
              <w:rPr>
                <w:b/>
                <w:lang w:val="bg-BG"/>
              </w:rPr>
              <w:t>едно или повече от следните обстоятелства:</w:t>
            </w:r>
          </w:p>
          <w:p w:rsidR="00327C64" w:rsidRPr="006A2048" w:rsidRDefault="00327C64" w:rsidP="00327C6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val="en-US"/>
              </w:rPr>
            </w:pP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В техническото предложение на участника е представена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организация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работа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без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задълженията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отговорностите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</w:p>
          <w:p w:rsidR="00327C64" w:rsidRPr="006A2048" w:rsidRDefault="00327C64" w:rsidP="00327C64">
            <w:pPr>
              <w:autoSpaceDE w:val="0"/>
              <w:autoSpaceDN w:val="0"/>
              <w:adjustRightInd w:val="0"/>
              <w:rPr>
                <w:lang w:val="bg-BG"/>
              </w:rPr>
            </w:pPr>
            <w:proofErr w:type="spellStart"/>
            <w:proofErr w:type="gram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членовете</w:t>
            </w:r>
            <w:proofErr w:type="spellEnd"/>
            <w:proofErr w:type="gram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–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ключови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допълнителни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.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Кратко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и/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или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неясно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комуникацията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контрола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вътре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в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с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останалите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участници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в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строителния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процес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.</w:t>
            </w:r>
          </w:p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</w:p>
        </w:tc>
        <w:tc>
          <w:tcPr>
            <w:tcW w:w="1551" w:type="dxa"/>
          </w:tcPr>
          <w:p w:rsidR="000E463A" w:rsidRPr="006A2048" w:rsidRDefault="00A108F0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3</w:t>
            </w:r>
            <w:r w:rsidR="000E463A" w:rsidRPr="006A2048">
              <w:rPr>
                <w:b/>
                <w:lang w:val="bg-BG"/>
              </w:rPr>
              <w:t>0 т.</w:t>
            </w:r>
          </w:p>
        </w:tc>
      </w:tr>
      <w:tr w:rsidR="006A2048" w:rsidRPr="006A2048" w:rsidTr="00995298">
        <w:trPr>
          <w:trHeight w:val="407"/>
        </w:trPr>
        <w:tc>
          <w:tcPr>
            <w:tcW w:w="466" w:type="dxa"/>
          </w:tcPr>
          <w:p w:rsidR="000E463A" w:rsidRPr="006A2048" w:rsidRDefault="000E463A" w:rsidP="00995298">
            <w:pPr>
              <w:jc w:val="center"/>
              <w:rPr>
                <w:lang w:val="bg-BG"/>
              </w:rPr>
            </w:pPr>
          </w:p>
        </w:tc>
        <w:tc>
          <w:tcPr>
            <w:tcW w:w="7783" w:type="dxa"/>
            <w:tcBorders>
              <w:top w:val="single" w:sz="4" w:space="0" w:color="auto"/>
              <w:bottom w:val="single" w:sz="4" w:space="0" w:color="auto"/>
            </w:tcBorders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К</w:t>
            </w:r>
            <w:r w:rsidR="00A108F0" w:rsidRPr="006A2048">
              <w:rPr>
                <w:b/>
                <w:lang w:val="bg-BG"/>
              </w:rPr>
              <w:t>омисията поставя 2</w:t>
            </w:r>
            <w:r w:rsidRPr="006A2048">
              <w:rPr>
                <w:b/>
                <w:lang w:val="bg-BG"/>
              </w:rPr>
              <w:t>0 точки, когато са налице едно или повече от следните обстоятелства:</w:t>
            </w:r>
          </w:p>
          <w:p w:rsidR="00327C64" w:rsidRPr="006A2048" w:rsidRDefault="00327C64" w:rsidP="00327C64">
            <w:pPr>
              <w:autoSpaceDE w:val="0"/>
              <w:autoSpaceDN w:val="0"/>
              <w:adjustRightInd w:val="0"/>
              <w:rPr>
                <w:b/>
                <w:lang w:val="bg-BG"/>
              </w:rPr>
            </w:pP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>В техническото предложение на участника о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писаните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дейностите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непълни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ли неясни, тяхната последователност е формално посочена, без да се държи сметка за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>конкретиката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на настоящата поръчка.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Участникът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е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описал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документите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>,</w:t>
            </w:r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които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трябва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бъдат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издадени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е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определил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тяхната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периодичност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съдържание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.</w:t>
            </w:r>
          </w:p>
          <w:p w:rsidR="000E463A" w:rsidRPr="006A2048" w:rsidRDefault="000E463A" w:rsidP="00327C64">
            <w:pPr>
              <w:jc w:val="both"/>
              <w:rPr>
                <w:b/>
                <w:lang w:val="bg-BG"/>
              </w:rPr>
            </w:pPr>
          </w:p>
        </w:tc>
        <w:tc>
          <w:tcPr>
            <w:tcW w:w="1551" w:type="dxa"/>
          </w:tcPr>
          <w:p w:rsidR="000E463A" w:rsidRPr="006A2048" w:rsidRDefault="00A108F0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2</w:t>
            </w:r>
            <w:r w:rsidR="000E463A" w:rsidRPr="006A2048">
              <w:rPr>
                <w:b/>
                <w:lang w:val="bg-BG"/>
              </w:rPr>
              <w:t>0 т.</w:t>
            </w:r>
          </w:p>
        </w:tc>
      </w:tr>
      <w:tr w:rsidR="006A2048" w:rsidRPr="006A2048" w:rsidTr="00995298">
        <w:trPr>
          <w:trHeight w:val="407"/>
        </w:trPr>
        <w:tc>
          <w:tcPr>
            <w:tcW w:w="466" w:type="dxa"/>
          </w:tcPr>
          <w:p w:rsidR="000E463A" w:rsidRPr="006A2048" w:rsidRDefault="000E463A" w:rsidP="00995298">
            <w:pPr>
              <w:jc w:val="center"/>
              <w:rPr>
                <w:lang w:val="bg-BG"/>
              </w:rPr>
            </w:pPr>
          </w:p>
        </w:tc>
        <w:tc>
          <w:tcPr>
            <w:tcW w:w="7783" w:type="dxa"/>
            <w:tcBorders>
              <w:top w:val="single" w:sz="4" w:space="0" w:color="auto"/>
              <w:bottom w:val="single" w:sz="4" w:space="0" w:color="auto"/>
            </w:tcBorders>
          </w:tcPr>
          <w:p w:rsidR="00327C64" w:rsidRPr="006A2048" w:rsidRDefault="000E463A" w:rsidP="00327C6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val="en-US"/>
              </w:rPr>
            </w:pPr>
            <w:r w:rsidRPr="006A2048">
              <w:rPr>
                <w:b/>
                <w:lang w:val="bg-BG"/>
              </w:rPr>
              <w:t>Комисията поставя 1</w:t>
            </w:r>
            <w:r w:rsidR="00A108F0" w:rsidRPr="006A2048">
              <w:rPr>
                <w:b/>
                <w:lang w:val="bg-BG"/>
              </w:rPr>
              <w:t>0</w:t>
            </w:r>
            <w:r w:rsidRPr="006A2048">
              <w:rPr>
                <w:b/>
                <w:lang w:val="bg-BG"/>
              </w:rPr>
              <w:t xml:space="preserve"> точка, когато са налице едно или повече от следните обстоятелства:</w:t>
            </w:r>
            <w:r w:rsidR="00327C64"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</w:p>
          <w:p w:rsidR="00327C64" w:rsidRPr="006A2048" w:rsidRDefault="00327C64" w:rsidP="00327C6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val="en-US"/>
              </w:rPr>
            </w:pP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В техническото предложение на участника е представена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организация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работа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но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без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задълженията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отговорностите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</w:p>
          <w:p w:rsidR="000E463A" w:rsidRPr="006A2048" w:rsidRDefault="00327C64" w:rsidP="00327C64">
            <w:pPr>
              <w:autoSpaceDE w:val="0"/>
              <w:autoSpaceDN w:val="0"/>
              <w:adjustRightInd w:val="0"/>
              <w:rPr>
                <w:lang w:val="bg-BG"/>
              </w:rPr>
            </w:pPr>
            <w:proofErr w:type="spellStart"/>
            <w:proofErr w:type="gram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членовете</w:t>
            </w:r>
            <w:proofErr w:type="spellEnd"/>
            <w:proofErr w:type="gram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–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ключови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допълнителни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.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Участникът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е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описал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комуникацията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контрола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вътре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в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екипа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с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останалите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участници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в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строителния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процес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.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Описаните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дейности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непълни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</w:t>
            </w:r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>ли неясни</w:t>
            </w:r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гарантират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законосъобразността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качеството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при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извършване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строително-монтажните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работи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.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Участникът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не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е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описал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всички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документи</w:t>
            </w:r>
            <w:proofErr w:type="spellEnd"/>
            <w:proofErr w:type="gramStart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, </w:t>
            </w:r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които</w:t>
            </w:r>
            <w:proofErr w:type="spellEnd"/>
            <w:proofErr w:type="gram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трябва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да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бъдат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издадени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, </w:t>
            </w:r>
            <w:r w:rsidR="00B2390D" w:rsidRPr="006A2048">
              <w:rPr>
                <w:rFonts w:ascii="TimesNewRomanPSMT" w:eastAsiaTheme="minorHAnsi" w:hAnsi="TimesNewRomanPSMT" w:cs="TimesNewRomanPSMT"/>
                <w:lang w:val="bg-BG"/>
              </w:rPr>
              <w:t xml:space="preserve">в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тяхната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периодичност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 xml:space="preserve"> и </w:t>
            </w:r>
            <w:proofErr w:type="spellStart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съдържание</w:t>
            </w:r>
            <w:proofErr w:type="spellEnd"/>
            <w:r w:rsidRPr="006A2048">
              <w:rPr>
                <w:rFonts w:ascii="TimesNewRomanPSMT" w:eastAsiaTheme="minorHAnsi" w:hAnsi="TimesNewRomanPSMT" w:cs="TimesNewRomanPSMT"/>
                <w:lang w:val="en-US"/>
              </w:rPr>
              <w:t>.</w:t>
            </w:r>
          </w:p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</w:p>
        </w:tc>
        <w:tc>
          <w:tcPr>
            <w:tcW w:w="1551" w:type="dxa"/>
          </w:tcPr>
          <w:p w:rsidR="000E463A" w:rsidRPr="006A2048" w:rsidRDefault="000E463A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1</w:t>
            </w:r>
            <w:r w:rsidR="00A108F0" w:rsidRPr="006A2048">
              <w:rPr>
                <w:b/>
                <w:lang w:val="bg-BG"/>
              </w:rPr>
              <w:t>0</w:t>
            </w:r>
            <w:r w:rsidRPr="006A2048">
              <w:rPr>
                <w:b/>
                <w:lang w:val="bg-BG"/>
              </w:rPr>
              <w:t>т.</w:t>
            </w:r>
          </w:p>
        </w:tc>
      </w:tr>
      <w:tr w:rsidR="006A2048" w:rsidRPr="006A2048" w:rsidTr="00995298">
        <w:trPr>
          <w:trHeight w:val="163"/>
        </w:trPr>
        <w:tc>
          <w:tcPr>
            <w:tcW w:w="466" w:type="dxa"/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Б</w:t>
            </w:r>
          </w:p>
        </w:tc>
        <w:tc>
          <w:tcPr>
            <w:tcW w:w="7783" w:type="dxa"/>
            <w:tcBorders>
              <w:top w:val="single" w:sz="4" w:space="0" w:color="auto"/>
              <w:bottom w:val="single" w:sz="4" w:space="0" w:color="auto"/>
            </w:tcBorders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УПРАВЛЕНИЕ НА РИСКА</w:t>
            </w:r>
          </w:p>
        </w:tc>
        <w:tc>
          <w:tcPr>
            <w:tcW w:w="1551" w:type="dxa"/>
          </w:tcPr>
          <w:p w:rsidR="000E463A" w:rsidRPr="006A2048" w:rsidRDefault="000E463A" w:rsidP="00F45E6E">
            <w:pPr>
              <w:jc w:val="center"/>
              <w:rPr>
                <w:b/>
                <w:lang w:val="bg-BG"/>
              </w:rPr>
            </w:pPr>
            <w:proofErr w:type="spellStart"/>
            <w:r w:rsidRPr="006A2048">
              <w:rPr>
                <w:b/>
                <w:lang w:val="bg-BG"/>
              </w:rPr>
              <w:t>макс</w:t>
            </w:r>
            <w:proofErr w:type="spellEnd"/>
            <w:r w:rsidRPr="006A2048">
              <w:rPr>
                <w:b/>
                <w:lang w:val="bg-BG"/>
              </w:rPr>
              <w:t xml:space="preserve">. брой точки </w:t>
            </w:r>
            <w:r w:rsidR="00F45E6E" w:rsidRPr="006A2048">
              <w:rPr>
                <w:b/>
                <w:lang w:val="bg-BG"/>
              </w:rPr>
              <w:t>3</w:t>
            </w:r>
            <w:r w:rsidRPr="006A2048">
              <w:rPr>
                <w:b/>
                <w:lang w:val="bg-BG"/>
              </w:rPr>
              <w:t>0</w:t>
            </w:r>
          </w:p>
        </w:tc>
      </w:tr>
      <w:tr w:rsidR="006A2048" w:rsidRPr="006A2048" w:rsidTr="00995298">
        <w:trPr>
          <w:trHeight w:val="163"/>
        </w:trPr>
        <w:tc>
          <w:tcPr>
            <w:tcW w:w="466" w:type="dxa"/>
          </w:tcPr>
          <w:p w:rsidR="000E463A" w:rsidRPr="006A2048" w:rsidRDefault="000E463A" w:rsidP="00995298">
            <w:pPr>
              <w:jc w:val="both"/>
              <w:rPr>
                <w:lang w:val="bg-BG"/>
              </w:rPr>
            </w:pPr>
          </w:p>
        </w:tc>
        <w:tc>
          <w:tcPr>
            <w:tcW w:w="7783" w:type="dxa"/>
            <w:tcBorders>
              <w:top w:val="single" w:sz="4" w:space="0" w:color="auto"/>
              <w:bottom w:val="single" w:sz="4" w:space="0" w:color="auto"/>
            </w:tcBorders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К</w:t>
            </w:r>
            <w:r w:rsidR="00F45E6E" w:rsidRPr="006A2048">
              <w:rPr>
                <w:b/>
                <w:lang w:val="bg-BG"/>
              </w:rPr>
              <w:t>омисията поставя 3</w:t>
            </w:r>
            <w:r w:rsidRPr="006A2048">
              <w:rPr>
                <w:b/>
                <w:lang w:val="bg-BG"/>
              </w:rPr>
              <w:t>0 точки, когато са налице следните обстоятелства:</w:t>
            </w:r>
          </w:p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noProof/>
              </w:rPr>
              <w:t>Техническото предложение съдържа подробен анализ на рисковете при всеки от етапите от изпълнение на поръчката</w:t>
            </w:r>
            <w:r w:rsidRPr="006A2048">
              <w:rPr>
                <w:noProof/>
                <w:lang w:val="bg-BG"/>
              </w:rPr>
              <w:t>. П</w:t>
            </w:r>
            <w:r w:rsidRPr="006A2048">
              <w:rPr>
                <w:noProof/>
              </w:rPr>
              <w:t>редложени са обосновани мерки за предотвратяването или преодоляването им, с оглед ефиктивно и ефикасно изпълнение</w:t>
            </w:r>
            <w:r w:rsidRPr="006A2048">
              <w:rPr>
                <w:noProof/>
                <w:lang w:val="bg-BG"/>
              </w:rPr>
              <w:t xml:space="preserve"> на дейностите</w:t>
            </w:r>
            <w:r w:rsidR="00B2390D" w:rsidRPr="006A2048">
              <w:rPr>
                <w:noProof/>
              </w:rPr>
              <w:t>. Предложен е П</w:t>
            </w:r>
            <w:r w:rsidRPr="006A2048">
              <w:rPr>
                <w:noProof/>
              </w:rPr>
              <w:t xml:space="preserve">лан за управление на риска, който  позволява осъществяването на контрол върху изпълнението и гъвкавост при организацията на дейности, експерти и събития, с оглед бързото и трайно решаване на възникнали проблеми в хода на изпълнението.   </w:t>
            </w:r>
          </w:p>
          <w:p w:rsidR="000E463A" w:rsidRPr="006A2048" w:rsidRDefault="000E463A" w:rsidP="00995298">
            <w:pPr>
              <w:jc w:val="both"/>
              <w:rPr>
                <w:lang w:val="bg-BG"/>
              </w:rPr>
            </w:pPr>
          </w:p>
        </w:tc>
        <w:tc>
          <w:tcPr>
            <w:tcW w:w="1551" w:type="dxa"/>
          </w:tcPr>
          <w:p w:rsidR="000E463A" w:rsidRPr="006A2048" w:rsidRDefault="00F45E6E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3</w:t>
            </w:r>
            <w:r w:rsidR="000E463A" w:rsidRPr="006A2048">
              <w:rPr>
                <w:b/>
                <w:lang w:val="bg-BG"/>
              </w:rPr>
              <w:t>0 т.</w:t>
            </w:r>
          </w:p>
        </w:tc>
      </w:tr>
      <w:tr w:rsidR="006A2048" w:rsidRPr="006A2048" w:rsidTr="00995298">
        <w:trPr>
          <w:trHeight w:val="163"/>
        </w:trPr>
        <w:tc>
          <w:tcPr>
            <w:tcW w:w="466" w:type="dxa"/>
          </w:tcPr>
          <w:p w:rsidR="000E463A" w:rsidRPr="006A2048" w:rsidRDefault="000E463A" w:rsidP="00995298">
            <w:pPr>
              <w:jc w:val="both"/>
              <w:rPr>
                <w:lang w:val="bg-BG"/>
              </w:rPr>
            </w:pPr>
          </w:p>
        </w:tc>
        <w:tc>
          <w:tcPr>
            <w:tcW w:w="7783" w:type="dxa"/>
            <w:tcBorders>
              <w:top w:val="single" w:sz="4" w:space="0" w:color="auto"/>
              <w:bottom w:val="single" w:sz="4" w:space="0" w:color="auto"/>
            </w:tcBorders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 xml:space="preserve">Комисията поставя </w:t>
            </w:r>
            <w:r w:rsidR="00F45E6E" w:rsidRPr="006A2048">
              <w:rPr>
                <w:b/>
                <w:lang w:val="bg-BG"/>
              </w:rPr>
              <w:t>2</w:t>
            </w:r>
            <w:r w:rsidRPr="006A2048">
              <w:rPr>
                <w:b/>
                <w:lang w:val="bg-BG"/>
              </w:rPr>
              <w:t>0 точки, когато са налице едно или повече следните обстоятелства:</w:t>
            </w:r>
          </w:p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lang w:val="bg-BG"/>
              </w:rPr>
              <w:t>Техническото предложение съдържа анализ на рисковете</w:t>
            </w:r>
            <w:r w:rsidR="00B2390D" w:rsidRPr="006A2048">
              <w:rPr>
                <w:lang w:val="bg-BG"/>
              </w:rPr>
              <w:t xml:space="preserve">. </w:t>
            </w:r>
            <w:r w:rsidRPr="006A2048">
              <w:rPr>
                <w:lang w:val="bg-BG"/>
              </w:rPr>
              <w:t xml:space="preserve">Липсва яснота или са налице пропуски при обвързването на идентифицираните рискове с видовете дейности от </w:t>
            </w:r>
            <w:r w:rsidR="00B2390D" w:rsidRPr="006A2048">
              <w:rPr>
                <w:lang w:val="bg-BG"/>
              </w:rPr>
              <w:t>О</w:t>
            </w:r>
            <w:r w:rsidRPr="006A2048">
              <w:rPr>
                <w:lang w:val="bg-BG"/>
              </w:rPr>
              <w:t>рганизация</w:t>
            </w:r>
            <w:r w:rsidR="00B2390D" w:rsidRPr="006A2048">
              <w:rPr>
                <w:lang w:val="bg-BG"/>
              </w:rPr>
              <w:t xml:space="preserve">та за </w:t>
            </w:r>
            <w:r w:rsidRPr="006A2048">
              <w:rPr>
                <w:lang w:val="bg-BG"/>
              </w:rPr>
              <w:t xml:space="preserve">изпълнение на поръчката. Предложените мерки за предотвратяването или преодоляването на рисковете в тази част не са обосновани или не са ясно </w:t>
            </w:r>
            <w:r w:rsidRPr="006A2048">
              <w:rPr>
                <w:lang w:val="bg-BG"/>
              </w:rPr>
              <w:lastRenderedPageBreak/>
              <w:t>индивидуализирани. Предложен</w:t>
            </w:r>
            <w:r w:rsidR="00B2390D" w:rsidRPr="006A2048">
              <w:rPr>
                <w:lang w:val="bg-BG"/>
              </w:rPr>
              <w:t>ия План</w:t>
            </w:r>
            <w:r w:rsidRPr="006A2048">
              <w:rPr>
                <w:lang w:val="bg-BG"/>
              </w:rPr>
              <w:t xml:space="preserve"> за управление на риска съдържа пропуски в частта на  идентифицирането на рисковете относно видовете дейности и тяхната последователност, което не може да индивидуализира ясен процес за управление на риска в тази част от изпълнението на поръчката.  </w:t>
            </w:r>
          </w:p>
          <w:p w:rsidR="000E463A" w:rsidRPr="006A2048" w:rsidRDefault="000E463A" w:rsidP="00995298">
            <w:pPr>
              <w:jc w:val="both"/>
              <w:rPr>
                <w:lang w:val="bg-BG"/>
              </w:rPr>
            </w:pPr>
          </w:p>
        </w:tc>
        <w:tc>
          <w:tcPr>
            <w:tcW w:w="1551" w:type="dxa"/>
          </w:tcPr>
          <w:p w:rsidR="000E463A" w:rsidRPr="006A2048" w:rsidRDefault="00F45E6E" w:rsidP="00995298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lastRenderedPageBreak/>
              <w:t>2</w:t>
            </w:r>
            <w:r w:rsidR="000E463A" w:rsidRPr="006A2048">
              <w:rPr>
                <w:b/>
                <w:lang w:val="bg-BG"/>
              </w:rPr>
              <w:t>0 точки</w:t>
            </w:r>
          </w:p>
        </w:tc>
      </w:tr>
      <w:tr w:rsidR="00386E78" w:rsidRPr="006A2048" w:rsidTr="00995298">
        <w:trPr>
          <w:trHeight w:val="163"/>
        </w:trPr>
        <w:tc>
          <w:tcPr>
            <w:tcW w:w="466" w:type="dxa"/>
          </w:tcPr>
          <w:p w:rsidR="000E463A" w:rsidRPr="006A2048" w:rsidRDefault="000E463A" w:rsidP="00995298">
            <w:pPr>
              <w:jc w:val="both"/>
              <w:rPr>
                <w:lang w:val="bg-BG"/>
              </w:rPr>
            </w:pPr>
          </w:p>
        </w:tc>
        <w:tc>
          <w:tcPr>
            <w:tcW w:w="7783" w:type="dxa"/>
            <w:tcBorders>
              <w:top w:val="single" w:sz="4" w:space="0" w:color="auto"/>
            </w:tcBorders>
          </w:tcPr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Комисията поставя 1</w:t>
            </w:r>
            <w:r w:rsidR="00F45E6E" w:rsidRPr="006A2048">
              <w:rPr>
                <w:b/>
                <w:lang w:val="bg-BG"/>
              </w:rPr>
              <w:t>0</w:t>
            </w:r>
            <w:r w:rsidRPr="006A2048">
              <w:rPr>
                <w:b/>
                <w:lang w:val="bg-BG"/>
              </w:rPr>
              <w:t xml:space="preserve"> точки, когато са налице едно или повече от  следните обстоятелства:</w:t>
            </w:r>
          </w:p>
          <w:p w:rsidR="000E463A" w:rsidRPr="006A2048" w:rsidRDefault="000E463A" w:rsidP="00995298">
            <w:pPr>
              <w:jc w:val="both"/>
              <w:rPr>
                <w:lang w:val="bg-BG"/>
              </w:rPr>
            </w:pPr>
            <w:r w:rsidRPr="006A2048">
              <w:rPr>
                <w:lang w:val="bg-BG"/>
              </w:rPr>
              <w:t>Техническото предложение съдържа анализ на рисковете</w:t>
            </w:r>
            <w:r w:rsidR="00B2390D" w:rsidRPr="006A2048">
              <w:rPr>
                <w:lang w:val="bg-BG"/>
              </w:rPr>
              <w:t>. П</w:t>
            </w:r>
            <w:r w:rsidRPr="006A2048">
              <w:rPr>
                <w:lang w:val="bg-BG"/>
              </w:rPr>
              <w:t>редложените мерки за предотвратяването или преодоляването на рисковете не са обосновани или не са ясно индивидуализирани, или не обхващат всички посочени рискове. Предложен</w:t>
            </w:r>
            <w:r w:rsidR="00B2390D" w:rsidRPr="006A2048">
              <w:rPr>
                <w:lang w:val="bg-BG"/>
              </w:rPr>
              <w:t xml:space="preserve"> </w:t>
            </w:r>
            <w:r w:rsidRPr="006A2048">
              <w:rPr>
                <w:lang w:val="bg-BG"/>
              </w:rPr>
              <w:t xml:space="preserve">е </w:t>
            </w:r>
            <w:r w:rsidR="00B2390D" w:rsidRPr="006A2048">
              <w:rPr>
                <w:lang w:val="bg-BG"/>
              </w:rPr>
              <w:t>План</w:t>
            </w:r>
            <w:r w:rsidRPr="006A2048">
              <w:rPr>
                <w:lang w:val="bg-BG"/>
              </w:rPr>
              <w:t xml:space="preserve"> за управление на риска, ко</w:t>
            </w:r>
            <w:r w:rsidR="00B2390D" w:rsidRPr="006A2048">
              <w:rPr>
                <w:lang w:val="bg-BG"/>
              </w:rPr>
              <w:t>й</w:t>
            </w:r>
            <w:r w:rsidRPr="006A2048">
              <w:rPr>
                <w:lang w:val="bg-BG"/>
              </w:rPr>
              <w:t xml:space="preserve">то съдържа общи и формално посочени средствата за превенция на риска, и не може да бъде упражнен контрол върху дейността в детайли.  </w:t>
            </w:r>
          </w:p>
          <w:p w:rsidR="000E463A" w:rsidRPr="006A2048" w:rsidRDefault="000E463A" w:rsidP="00995298">
            <w:pPr>
              <w:jc w:val="both"/>
              <w:rPr>
                <w:b/>
                <w:lang w:val="bg-BG"/>
              </w:rPr>
            </w:pPr>
          </w:p>
        </w:tc>
        <w:tc>
          <w:tcPr>
            <w:tcW w:w="1551" w:type="dxa"/>
          </w:tcPr>
          <w:p w:rsidR="000E463A" w:rsidRPr="006A2048" w:rsidRDefault="000E463A" w:rsidP="00F45E6E">
            <w:pPr>
              <w:jc w:val="center"/>
              <w:rPr>
                <w:b/>
                <w:lang w:val="bg-BG"/>
              </w:rPr>
            </w:pPr>
            <w:r w:rsidRPr="006A2048">
              <w:rPr>
                <w:b/>
                <w:lang w:val="bg-BG"/>
              </w:rPr>
              <w:t>1</w:t>
            </w:r>
            <w:r w:rsidR="00F45E6E" w:rsidRPr="006A2048">
              <w:rPr>
                <w:b/>
                <w:lang w:val="bg-BG"/>
              </w:rPr>
              <w:t>0</w:t>
            </w:r>
            <w:r w:rsidRPr="006A2048">
              <w:rPr>
                <w:b/>
                <w:lang w:val="bg-BG"/>
              </w:rPr>
              <w:t xml:space="preserve"> точк</w:t>
            </w:r>
            <w:r w:rsidR="00F45E6E" w:rsidRPr="006A2048">
              <w:rPr>
                <w:b/>
                <w:lang w:val="bg-BG"/>
              </w:rPr>
              <w:t>и</w:t>
            </w:r>
            <w:r w:rsidRPr="006A2048">
              <w:rPr>
                <w:b/>
                <w:lang w:val="bg-BG"/>
              </w:rPr>
              <w:t xml:space="preserve"> </w:t>
            </w:r>
          </w:p>
        </w:tc>
      </w:tr>
    </w:tbl>
    <w:p w:rsidR="000E463A" w:rsidRPr="006A2048" w:rsidRDefault="000E463A" w:rsidP="000E463A">
      <w:pPr>
        <w:ind w:firstLine="709"/>
        <w:jc w:val="both"/>
        <w:rPr>
          <w:b/>
          <w:iCs/>
          <w:lang w:val="bg-BG"/>
        </w:rPr>
      </w:pPr>
    </w:p>
    <w:p w:rsidR="000E463A" w:rsidRPr="006A2048" w:rsidRDefault="000E463A" w:rsidP="000E463A">
      <w:pPr>
        <w:ind w:firstLine="567"/>
        <w:jc w:val="both"/>
        <w:rPr>
          <w:lang w:val="bg-BG"/>
        </w:rPr>
      </w:pPr>
    </w:p>
    <w:p w:rsidR="000E463A" w:rsidRPr="006A2048" w:rsidRDefault="000E463A" w:rsidP="000E463A">
      <w:pPr>
        <w:ind w:firstLine="709"/>
        <w:jc w:val="both"/>
        <w:rPr>
          <w:b/>
          <w:u w:val="single"/>
          <w:lang w:val="bg-BG"/>
        </w:rPr>
      </w:pPr>
      <w:r w:rsidRPr="006A2048">
        <w:rPr>
          <w:b/>
          <w:u w:val="single"/>
          <w:lang w:val="bg-BG"/>
        </w:rPr>
        <w:t>УКАЗАНИЯ ПО ПРИЛАГАНЕ НА МЕТОДИКАТА</w:t>
      </w:r>
    </w:p>
    <w:p w:rsidR="000E463A" w:rsidRPr="006A2048" w:rsidRDefault="000E463A" w:rsidP="000E463A">
      <w:pPr>
        <w:ind w:firstLine="709"/>
        <w:jc w:val="both"/>
        <w:rPr>
          <w:b/>
          <w:lang w:val="bg-BG"/>
        </w:rPr>
      </w:pPr>
      <w:r w:rsidRPr="006A2048">
        <w:rPr>
          <w:b/>
          <w:lang w:val="bg-BG"/>
        </w:rPr>
        <w:t>Настоящата методика се прилага за всяка обособена позиция по отделно при оценяване на офертите на всеки един от участниците без да се променя.</w:t>
      </w:r>
    </w:p>
    <w:p w:rsidR="000E463A" w:rsidRPr="006A2048" w:rsidRDefault="000E463A" w:rsidP="000E463A">
      <w:pPr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b/>
          <w:lang w:val="bg-BG"/>
        </w:rPr>
      </w:pPr>
      <w:r w:rsidRPr="006A2048">
        <w:rPr>
          <w:lang w:val="bg-BG"/>
        </w:rPr>
        <w:t xml:space="preserve">Оценките на всеки един от </w:t>
      </w:r>
      <w:proofErr w:type="spellStart"/>
      <w:r w:rsidRPr="006A2048">
        <w:rPr>
          <w:lang w:val="bg-BG"/>
        </w:rPr>
        <w:t>подпоказателите</w:t>
      </w:r>
      <w:proofErr w:type="spellEnd"/>
      <w:r w:rsidRPr="006A2048">
        <w:rPr>
          <w:lang w:val="bg-BG"/>
        </w:rPr>
        <w:t xml:space="preserve"> </w:t>
      </w:r>
      <w:r w:rsidRPr="006A2048">
        <w:rPr>
          <w:b/>
          <w:lang w:val="bg-BG"/>
        </w:rPr>
        <w:t>А</w:t>
      </w:r>
      <w:r w:rsidRPr="006A2048">
        <w:rPr>
          <w:b/>
          <w:lang w:val="en-US"/>
        </w:rPr>
        <w:t xml:space="preserve"> </w:t>
      </w:r>
      <w:r w:rsidRPr="006A2048">
        <w:rPr>
          <w:b/>
          <w:lang w:val="bg-BG"/>
        </w:rPr>
        <w:t xml:space="preserve">и Б </w:t>
      </w:r>
      <w:r w:rsidRPr="006A2048">
        <w:rPr>
          <w:lang w:val="bg-BG"/>
        </w:rPr>
        <w:t>в показател</w:t>
      </w:r>
      <w:r w:rsidRPr="006A2048">
        <w:rPr>
          <w:b/>
          <w:lang w:val="bg-BG"/>
        </w:rPr>
        <w:t xml:space="preserve"> (КО</w:t>
      </w:r>
      <w:r w:rsidR="00A108F0" w:rsidRPr="006A2048">
        <w:rPr>
          <w:b/>
          <w:lang w:val="bg-BG"/>
        </w:rPr>
        <w:t>2</w:t>
      </w:r>
      <w:r w:rsidRPr="006A2048">
        <w:rPr>
          <w:b/>
          <w:lang w:val="bg-BG"/>
        </w:rPr>
        <w:t>) -</w:t>
      </w:r>
      <w:r w:rsidRPr="006A2048">
        <w:rPr>
          <w:lang w:val="bg-BG"/>
        </w:rPr>
        <w:t xml:space="preserve">  </w:t>
      </w:r>
      <w:r w:rsidRPr="006A2048">
        <w:rPr>
          <w:b/>
          <w:lang w:val="bg-BG"/>
        </w:rPr>
        <w:t>Техническо предложение за изпълнение на поръчката</w:t>
      </w:r>
      <w:r w:rsidRPr="006A2048">
        <w:rPr>
          <w:lang w:val="bg-BG"/>
        </w:rPr>
        <w:t xml:space="preserve">, се определят като комисията, попълни таблици с индивидуални оценки на офертите по съответния </w:t>
      </w:r>
      <w:proofErr w:type="spellStart"/>
      <w:r w:rsidRPr="006A2048">
        <w:rPr>
          <w:lang w:val="bg-BG"/>
        </w:rPr>
        <w:t>подпоказател</w:t>
      </w:r>
      <w:proofErr w:type="spellEnd"/>
      <w:r w:rsidRPr="006A2048">
        <w:rPr>
          <w:lang w:val="bg-BG"/>
        </w:rPr>
        <w:t xml:space="preserve">. По всеки един от </w:t>
      </w:r>
      <w:proofErr w:type="spellStart"/>
      <w:r w:rsidRPr="006A2048">
        <w:rPr>
          <w:lang w:val="bg-BG"/>
        </w:rPr>
        <w:t>подпоказателите</w:t>
      </w:r>
      <w:proofErr w:type="spellEnd"/>
      <w:r w:rsidRPr="006A2048">
        <w:rPr>
          <w:lang w:val="bg-BG"/>
        </w:rPr>
        <w:t xml:space="preserve"> се поставя оценка в рамките на посочените диапазони в таблицата, въз основа на експертна оценка на комисията, която мотивира поставените точки, с цел осигуряване на прозрачност и </w:t>
      </w:r>
      <w:proofErr w:type="spellStart"/>
      <w:r w:rsidRPr="006A2048">
        <w:rPr>
          <w:lang w:val="bg-BG"/>
        </w:rPr>
        <w:t>равнопоставеност</w:t>
      </w:r>
      <w:proofErr w:type="spellEnd"/>
      <w:r w:rsidRPr="006A2048">
        <w:rPr>
          <w:lang w:val="bg-BG"/>
        </w:rPr>
        <w:t xml:space="preserve"> при оценката на офертите на участниците. При прилагането на методиката трябва да са изложени индивидуални и конкретни мотиви спрямо оценявания участник за присъдените точки от страна на комисията, които да се базират на техническите предложения на участниците, да се направи анализ на същите и да се изложат предимствата, съответно недостатъците на съответната оферта, които да обосноват присъдения брой точки. Тези мотиви не следва да са формални и да представляват копиране на критериите за оценяване заложени в методиката, а да са конкретни и да представляват анализ на техническите предложения на участниците, за да може в максимална степен да се гарантира спазването на основните принципи на ЗОП, регламентирани в чл.2 от ЗОП – публичност, прозрачност и равенство.</w:t>
      </w:r>
    </w:p>
    <w:p w:rsidR="000E463A" w:rsidRPr="006A2048" w:rsidRDefault="000E463A" w:rsidP="000E463A">
      <w:pPr>
        <w:ind w:firstLine="709"/>
        <w:jc w:val="both"/>
        <w:rPr>
          <w:b/>
          <w:lang w:val="bg-BG"/>
        </w:rPr>
      </w:pPr>
      <w:r w:rsidRPr="006A2048">
        <w:rPr>
          <w:b/>
          <w:lang w:val="bg-BG"/>
        </w:rPr>
        <w:t>2.</w:t>
      </w:r>
      <w:r w:rsidRPr="006A2048">
        <w:rPr>
          <w:lang w:val="bg-BG"/>
        </w:rPr>
        <w:t xml:space="preserve"> </w:t>
      </w:r>
      <w:bookmarkStart w:id="3" w:name="_Ref223425638"/>
      <w:r w:rsidRPr="006A2048">
        <w:rPr>
          <w:lang w:val="bg-BG"/>
        </w:rPr>
        <w:t>Когато офертата на участник съдържа предложение с числово изражение, което подлежи на оценяване и е с повече от 20 на сто по-благоприятно от средната стойност на предложения в останалите участници, по същият показател за оценка, комисията изисква от него подробна писмена обосновка за начина на неговото образуване. Комисията определя разумен срок за представяне на обосновката, който не мо</w:t>
      </w:r>
      <w:r w:rsidR="00A108F0" w:rsidRPr="006A2048">
        <w:rPr>
          <w:lang w:val="bg-BG"/>
        </w:rPr>
        <w:t>же да бъде по-кратък от три раб</w:t>
      </w:r>
      <w:r w:rsidRPr="006A2048">
        <w:rPr>
          <w:lang w:val="bg-BG"/>
        </w:rPr>
        <w:t>отни дни от получаване на искането за това.</w:t>
      </w:r>
      <w:bookmarkEnd w:id="3"/>
    </w:p>
    <w:p w:rsidR="000E463A" w:rsidRPr="006A2048" w:rsidRDefault="000E463A" w:rsidP="000E463A">
      <w:pPr>
        <w:ind w:firstLine="709"/>
        <w:jc w:val="both"/>
        <w:rPr>
          <w:lang w:val="bg-BG"/>
        </w:rPr>
      </w:pPr>
      <w:r w:rsidRPr="006A2048">
        <w:rPr>
          <w:b/>
          <w:lang w:val="bg-BG"/>
        </w:rPr>
        <w:t>3.</w:t>
      </w:r>
      <w:r w:rsidRPr="006A2048">
        <w:rPr>
          <w:lang w:val="bg-BG"/>
        </w:rPr>
        <w:t xml:space="preserve"> Комисията класира участниците в низходящ ред на получените комплексни оценки на офертите им. За изпълнител за всяка обособена позиция от обществената поръчка се определя участникът получил най-голям брой точки в комплексната оценка. </w:t>
      </w:r>
    </w:p>
    <w:p w:rsidR="000E463A" w:rsidRPr="006A2048" w:rsidRDefault="000E463A" w:rsidP="000E463A">
      <w:pPr>
        <w:ind w:firstLine="709"/>
        <w:jc w:val="both"/>
        <w:rPr>
          <w:lang w:val="bg-BG"/>
        </w:rPr>
      </w:pPr>
      <w:r w:rsidRPr="006A2048">
        <w:rPr>
          <w:b/>
          <w:lang w:val="bg-BG"/>
        </w:rPr>
        <w:t>4.</w:t>
      </w:r>
      <w:r w:rsidRPr="006A2048">
        <w:rPr>
          <w:lang w:val="bg-BG"/>
        </w:rPr>
        <w:t xml:space="preserve"> Ако първите в класирането участници са с равен брой точки, се класира на първо място участникът, който е предложил по-ниска цена. При условие, че и цените са еднакви се сравняват оценките по показателя с най-висока относителна тежест и се избира фирмата с най-благоприятна стойност по този показател. Ако и по този начин не може да се определи </w:t>
      </w:r>
      <w:r w:rsidRPr="006A2048">
        <w:rPr>
          <w:lang w:val="bg-BG"/>
        </w:rPr>
        <w:lastRenderedPageBreak/>
        <w:t>икономически най-изгодната оферта, комисията провежда публично жребий за определяне на  изпълнител между класираните на първо място оферти.</w:t>
      </w:r>
    </w:p>
    <w:p w:rsidR="000E463A" w:rsidRPr="006A2048" w:rsidRDefault="000E463A" w:rsidP="000E463A">
      <w:pPr>
        <w:ind w:firstLine="709"/>
        <w:jc w:val="both"/>
        <w:rPr>
          <w:lang w:val="bg-BG"/>
        </w:rPr>
      </w:pPr>
      <w:r w:rsidRPr="006A2048">
        <w:rPr>
          <w:b/>
          <w:lang w:val="bg-BG"/>
        </w:rPr>
        <w:t>5.</w:t>
      </w:r>
      <w:r w:rsidRPr="006A2048">
        <w:rPr>
          <w:lang w:val="bg-BG"/>
        </w:rPr>
        <w:t xml:space="preserve"> Комисията прилага методиката на оценяване, базираща се на точкова система. Класирането на допуснатите оферти се извършва в низходящ ред въз основа посочената методика и показатели като най-ниска цена е цената на участника предложил най-малка обща крайна стойност без ДДС за изпълнение на поръчката.</w:t>
      </w:r>
    </w:p>
    <w:p w:rsidR="000E463A" w:rsidRPr="006A2048" w:rsidRDefault="000E463A" w:rsidP="000E463A">
      <w:pPr>
        <w:ind w:firstLine="709"/>
        <w:jc w:val="both"/>
        <w:rPr>
          <w:rFonts w:eastAsia="Times CY"/>
          <w:lang w:val="bg-BG" w:eastAsia="ar-SA"/>
        </w:rPr>
      </w:pPr>
      <w:r w:rsidRPr="006A2048">
        <w:rPr>
          <w:b/>
          <w:lang w:val="bg-BG"/>
        </w:rPr>
        <w:t>6.</w:t>
      </w:r>
      <w:r w:rsidRPr="006A2048">
        <w:rPr>
          <w:lang w:val="bg-BG"/>
        </w:rPr>
        <w:t xml:space="preserve"> </w:t>
      </w:r>
      <w:r w:rsidRPr="006A2048">
        <w:rPr>
          <w:rFonts w:eastAsia="Times CY"/>
          <w:lang w:val="bg-BG" w:eastAsia="ar-SA"/>
        </w:rPr>
        <w:t xml:space="preserve">При оценка на всеки един от показателите (технически и финансов), Комисията изчислява точките с точност до втория знак след десетичната запетая.  </w:t>
      </w:r>
    </w:p>
    <w:p w:rsidR="000E463A" w:rsidRPr="006A2048" w:rsidRDefault="000E463A" w:rsidP="000E463A">
      <w:pPr>
        <w:ind w:firstLine="709"/>
        <w:jc w:val="both"/>
        <w:rPr>
          <w:lang w:val="bg-BG"/>
        </w:rPr>
      </w:pPr>
    </w:p>
    <w:p w:rsidR="000E463A" w:rsidRPr="006A2048" w:rsidRDefault="000E463A" w:rsidP="000E463A">
      <w:pPr>
        <w:ind w:firstLine="709"/>
        <w:jc w:val="both"/>
        <w:rPr>
          <w:lang w:val="bg-BG"/>
        </w:rPr>
      </w:pPr>
    </w:p>
    <w:p w:rsidR="000E463A" w:rsidRPr="006A2048" w:rsidRDefault="000E463A" w:rsidP="000E463A">
      <w:pPr>
        <w:ind w:firstLine="709"/>
        <w:jc w:val="both"/>
        <w:rPr>
          <w:lang w:val="bg-BG"/>
        </w:rPr>
      </w:pPr>
      <w:r w:rsidRPr="006A2048">
        <w:rPr>
          <w:lang w:val="bg-BG"/>
        </w:rPr>
        <w:t>Изготвил:  арх. Лъчезар Лалев</w:t>
      </w:r>
    </w:p>
    <w:p w:rsidR="000E463A" w:rsidRPr="006A2048" w:rsidRDefault="000E463A" w:rsidP="000E463A"/>
    <w:p w:rsidR="001A35F8" w:rsidRPr="006A2048" w:rsidRDefault="001A35F8">
      <w:pPr>
        <w:rPr>
          <w:lang w:val="en-US"/>
        </w:rPr>
      </w:pPr>
      <w:bookmarkStart w:id="4" w:name="_GoBack"/>
      <w:bookmarkEnd w:id="4"/>
    </w:p>
    <w:sectPr w:rsidR="001A35F8" w:rsidRPr="006A2048" w:rsidSect="00EB0EF4">
      <w:pgSz w:w="12240" w:h="15840"/>
      <w:pgMar w:top="1170" w:right="1170" w:bottom="108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3323"/>
    <w:multiLevelType w:val="multilevel"/>
    <w:tmpl w:val="2A264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ED1931"/>
    <w:multiLevelType w:val="hybridMultilevel"/>
    <w:tmpl w:val="762CD23A"/>
    <w:lvl w:ilvl="0" w:tplc="4FC6EC58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8" w:hanging="360"/>
      </w:pPr>
    </w:lvl>
    <w:lvl w:ilvl="2" w:tplc="0402001B" w:tentative="1">
      <w:start w:val="1"/>
      <w:numFmt w:val="lowerRoman"/>
      <w:lvlText w:val="%3."/>
      <w:lvlJc w:val="right"/>
      <w:pPr>
        <w:ind w:left="4068" w:hanging="180"/>
      </w:pPr>
    </w:lvl>
    <w:lvl w:ilvl="3" w:tplc="0402000F" w:tentative="1">
      <w:start w:val="1"/>
      <w:numFmt w:val="decimal"/>
      <w:lvlText w:val="%4."/>
      <w:lvlJc w:val="left"/>
      <w:pPr>
        <w:ind w:left="4788" w:hanging="360"/>
      </w:pPr>
    </w:lvl>
    <w:lvl w:ilvl="4" w:tplc="04020019" w:tentative="1">
      <w:start w:val="1"/>
      <w:numFmt w:val="lowerLetter"/>
      <w:lvlText w:val="%5."/>
      <w:lvlJc w:val="left"/>
      <w:pPr>
        <w:ind w:left="5508" w:hanging="360"/>
      </w:pPr>
    </w:lvl>
    <w:lvl w:ilvl="5" w:tplc="0402001B" w:tentative="1">
      <w:start w:val="1"/>
      <w:numFmt w:val="lowerRoman"/>
      <w:lvlText w:val="%6."/>
      <w:lvlJc w:val="right"/>
      <w:pPr>
        <w:ind w:left="6228" w:hanging="180"/>
      </w:pPr>
    </w:lvl>
    <w:lvl w:ilvl="6" w:tplc="0402000F" w:tentative="1">
      <w:start w:val="1"/>
      <w:numFmt w:val="decimal"/>
      <w:lvlText w:val="%7."/>
      <w:lvlJc w:val="left"/>
      <w:pPr>
        <w:ind w:left="6948" w:hanging="360"/>
      </w:pPr>
    </w:lvl>
    <w:lvl w:ilvl="7" w:tplc="04020019" w:tentative="1">
      <w:start w:val="1"/>
      <w:numFmt w:val="lowerLetter"/>
      <w:lvlText w:val="%8."/>
      <w:lvlJc w:val="left"/>
      <w:pPr>
        <w:ind w:left="7668" w:hanging="360"/>
      </w:pPr>
    </w:lvl>
    <w:lvl w:ilvl="8" w:tplc="0402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3D483F00"/>
    <w:multiLevelType w:val="multilevel"/>
    <w:tmpl w:val="2DA8CC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8B6529"/>
    <w:multiLevelType w:val="hybridMultilevel"/>
    <w:tmpl w:val="77A0C4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804285"/>
    <w:multiLevelType w:val="hybridMultilevel"/>
    <w:tmpl w:val="48ECE4A2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E634F68"/>
    <w:multiLevelType w:val="hybridMultilevel"/>
    <w:tmpl w:val="EDFA1EA6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72D0594"/>
    <w:multiLevelType w:val="multilevel"/>
    <w:tmpl w:val="38D81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E5"/>
    <w:rsid w:val="000E463A"/>
    <w:rsid w:val="001A35F8"/>
    <w:rsid w:val="00327C64"/>
    <w:rsid w:val="00386E78"/>
    <w:rsid w:val="004375E5"/>
    <w:rsid w:val="006A2048"/>
    <w:rsid w:val="006D4657"/>
    <w:rsid w:val="007B108C"/>
    <w:rsid w:val="00886DA7"/>
    <w:rsid w:val="00A108F0"/>
    <w:rsid w:val="00B2390D"/>
    <w:rsid w:val="00DC1AB3"/>
    <w:rsid w:val="00F32D5E"/>
    <w:rsid w:val="00F4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ен текст (3)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">
    <w:name w:val="Основен текст (2)"/>
    <w:rsid w:val="000E46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0">
    <w:name w:val="Основен текст (3) + Не е удебелен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0">
    <w:name w:val="Основен текст (2) + Удебелен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">
    <w:name w:val="Заглавие #2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11pt">
    <w:name w:val="Основен текст (2) + 11 pt;Удебелен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65pt">
    <w:name w:val="Основен текст (2) + 6;5 pt;Малки букви"/>
    <w:rsid w:val="000E463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bg-BG" w:eastAsia="bg-BG" w:bidi="bg-BG"/>
    </w:rPr>
  </w:style>
  <w:style w:type="paragraph" w:customStyle="1" w:styleId="CharChar1">
    <w:name w:val="Char Char1"/>
    <w:basedOn w:val="a"/>
    <w:rsid w:val="000E463A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ен текст (3)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">
    <w:name w:val="Основен текст (2)"/>
    <w:rsid w:val="000E46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0">
    <w:name w:val="Основен текст (3) + Не е удебелен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0">
    <w:name w:val="Основен текст (2) + Удебелен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">
    <w:name w:val="Заглавие #2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11pt">
    <w:name w:val="Основен текст (2) + 11 pt;Удебелен"/>
    <w:rsid w:val="000E46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65pt">
    <w:name w:val="Основен текст (2) + 6;5 pt;Малки букви"/>
    <w:rsid w:val="000E463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bg-BG" w:eastAsia="bg-BG" w:bidi="bg-BG"/>
    </w:rPr>
  </w:style>
  <w:style w:type="paragraph" w:customStyle="1" w:styleId="CharChar1">
    <w:name w:val="Char Char1"/>
    <w:basedOn w:val="a"/>
    <w:rsid w:val="000E463A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1571</Words>
  <Characters>8959</Characters>
  <Application>Microsoft Office Word</Application>
  <DocSecurity>0</DocSecurity>
  <Lines>74</Lines>
  <Paragraphs>21</Paragraphs>
  <ScaleCrop>false</ScaleCrop>
  <Company>CtrlSoft</Company>
  <LinksUpToDate>false</LinksUpToDate>
  <CharactersWithSpaces>10509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Velichkova</dc:creator>
  <cp:lastModifiedBy>user</cp:lastModifiedBy>
  <cp:revision>3</cp:revision>
  <dcterms:created xsi:type="dcterms:W3CDTF">2016-02-11T12:36:00Z</dcterms:created>
  <dcterms:modified xsi:type="dcterms:W3CDTF">2016-02-15T08:00:00Z</dcterms:modified>
</cp:coreProperties>
</file>